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9C" w:rsidRDefault="00DE689C">
      <w:pPr>
        <w:pStyle w:val="normal"/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9326" w:type="dxa"/>
        <w:tblInd w:w="0" w:type="dxa"/>
        <w:tblLayout w:type="fixed"/>
        <w:tblLook w:val="0000"/>
      </w:tblPr>
      <w:tblGrid>
        <w:gridCol w:w="2331"/>
        <w:gridCol w:w="2332"/>
        <w:gridCol w:w="2331"/>
        <w:gridCol w:w="2332"/>
      </w:tblGrid>
      <w:tr w:rsidR="00DE689C">
        <w:trPr>
          <w:trHeight w:val="1500"/>
        </w:trPr>
        <w:tc>
          <w:tcPr>
            <w:tcW w:w="2331" w:type="dxa"/>
            <w:shd w:val="clear" w:color="auto" w:fill="auto"/>
          </w:tcPr>
          <w:p w:rsidR="00DE689C" w:rsidRDefault="007734E5">
            <w:pPr>
              <w:pStyle w:val="normal"/>
              <w:widowControl w:val="0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>
                  <wp:extent cx="1400175" cy="546100"/>
                  <wp:effectExtent l="0" t="0" r="0" b="0"/>
                  <wp:docPr id="4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546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shd w:val="clear" w:color="auto" w:fill="auto"/>
          </w:tcPr>
          <w:p w:rsidR="00DE689C" w:rsidRDefault="007734E5">
            <w:pPr>
              <w:pStyle w:val="normal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114300" distB="114300" distL="114300" distR="114300">
                  <wp:extent cx="643572" cy="737183"/>
                  <wp:effectExtent l="0" t="0" r="0" b="0"/>
                  <wp:docPr id="3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572" cy="73718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1" w:type="dxa"/>
            <w:shd w:val="clear" w:color="auto" w:fill="auto"/>
          </w:tcPr>
          <w:p w:rsidR="00DE689C" w:rsidRDefault="007734E5">
            <w:pPr>
              <w:pStyle w:val="normal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114300" distR="114300">
                  <wp:extent cx="1272222" cy="718330"/>
                  <wp:effectExtent l="0" t="0" r="0" b="0"/>
                  <wp:docPr id="2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22" cy="7183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shd w:val="clear" w:color="auto" w:fill="auto"/>
          </w:tcPr>
          <w:p w:rsidR="00DE689C" w:rsidRDefault="007734E5">
            <w:pPr>
              <w:pStyle w:val="normal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>
                  <wp:extent cx="1400175" cy="914400"/>
                  <wp:effectExtent l="0" t="0" r="0" b="0"/>
                  <wp:docPr id="5" name="image1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/>
                          <pic:cNvPicPr preferRelativeResize="0"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91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689C" w:rsidRDefault="00DE689C">
      <w:pPr>
        <w:pStyle w:val="normal"/>
        <w:widowControl w:val="0"/>
        <w:jc w:val="center"/>
        <w:rPr>
          <w:b/>
          <w:sz w:val="32"/>
          <w:szCs w:val="32"/>
        </w:rPr>
      </w:pPr>
    </w:p>
    <w:p w:rsidR="00DE689C" w:rsidRDefault="007734E5">
      <w:pPr>
        <w:pStyle w:val="normal"/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Clinica legale </w:t>
      </w:r>
    </w:p>
    <w:p w:rsidR="00DE689C" w:rsidRDefault="007734E5">
      <w:pPr>
        <w:pStyle w:val="normal"/>
        <w:widowControl w:val="0"/>
        <w:jc w:val="center"/>
        <w:rPr>
          <w:b/>
          <w:sz w:val="24"/>
          <w:szCs w:val="24"/>
        </w:rPr>
      </w:pPr>
      <w:r>
        <w:rPr>
          <w:b/>
          <w:sz w:val="32"/>
          <w:szCs w:val="32"/>
        </w:rPr>
        <w:t>“</w:t>
      </w:r>
      <w:r>
        <w:rPr>
          <w:b/>
          <w:sz w:val="32"/>
          <w:szCs w:val="32"/>
          <w:u w:val="single"/>
        </w:rPr>
        <w:t>La protezione internazionale e i diritti dei richiedenti asilo</w:t>
      </w:r>
      <w:r>
        <w:rPr>
          <w:b/>
          <w:sz w:val="32"/>
          <w:szCs w:val="32"/>
        </w:rPr>
        <w:t>”</w:t>
      </w:r>
    </w:p>
    <w:p w:rsidR="00DE689C" w:rsidRDefault="00DE689C">
      <w:pPr>
        <w:pStyle w:val="normal"/>
        <w:widowControl w:val="0"/>
        <w:rPr>
          <w:b/>
          <w:sz w:val="24"/>
          <w:szCs w:val="24"/>
        </w:rPr>
      </w:pPr>
    </w:p>
    <w:p w:rsidR="00DE689C" w:rsidRDefault="00DE689C">
      <w:pPr>
        <w:pStyle w:val="normal"/>
        <w:widowControl w:val="0"/>
        <w:rPr>
          <w:b/>
          <w:sz w:val="24"/>
          <w:szCs w:val="24"/>
        </w:rPr>
      </w:pPr>
    </w:p>
    <w:p w:rsidR="00DE689C" w:rsidRDefault="007734E5">
      <w:pPr>
        <w:pStyle w:val="normal"/>
        <w:widowControl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L’Altro Diritto Centro interuniversitario di ricerca su carcere, devianza, marginalità e governo delle migrazioni e la Scuola di Giurisprudenza, </w:t>
      </w:r>
      <w:r>
        <w:rPr>
          <w:b/>
          <w:sz w:val="24"/>
          <w:szCs w:val="24"/>
        </w:rPr>
        <w:t xml:space="preserve">nell'ambito delle iniziative per l'accoglienza e l'integrazione dei cittadini immigrati promosse dalla Regione Toscana con la collaborazione di Anci Toscana, </w:t>
      </w:r>
      <w:r>
        <w:rPr>
          <w:b/>
          <w:sz w:val="24"/>
          <w:szCs w:val="24"/>
        </w:rPr>
        <w:t>offrono agli operatori del sistema di accoglienza toscano la possibilità di partecipare gratuitame</w:t>
      </w:r>
      <w:r>
        <w:rPr>
          <w:b/>
          <w:sz w:val="24"/>
          <w:szCs w:val="24"/>
        </w:rPr>
        <w:t>nte alla parte di didattica frontale e seminariale della clinica legale su “</w:t>
      </w:r>
      <w:r>
        <w:rPr>
          <w:b/>
          <w:sz w:val="24"/>
          <w:szCs w:val="24"/>
          <w:u w:val="single"/>
        </w:rPr>
        <w:t>La protezione internazionale e i diritti dei richiedenti asilo</w:t>
      </w:r>
      <w:r>
        <w:rPr>
          <w:b/>
          <w:sz w:val="24"/>
          <w:szCs w:val="24"/>
        </w:rPr>
        <w:t>” organizzata per gli studenti dei corsi di laurea della Scuola di giurisprudenza dell’Università di Firenze.</w:t>
      </w:r>
    </w:p>
    <w:p w:rsidR="00DE689C" w:rsidRDefault="00DE689C">
      <w:pPr>
        <w:pStyle w:val="normal"/>
        <w:widowControl w:val="0"/>
        <w:jc w:val="both"/>
        <w:rPr>
          <w:sz w:val="24"/>
          <w:szCs w:val="24"/>
        </w:rPr>
      </w:pPr>
    </w:p>
    <w:p w:rsidR="00DE689C" w:rsidRDefault="007734E5">
      <w:pPr>
        <w:pStyle w:val="normal"/>
        <w:widowControl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Le strutture di accoglienza (ovvero i centri di accoglienza straordinaria – CAS) presso cui svolgono l'attività gli operat</w:t>
      </w:r>
      <w:r>
        <w:rPr>
          <w:b/>
          <w:sz w:val="24"/>
          <w:szCs w:val="24"/>
        </w:rPr>
        <w:t xml:space="preserve">ori  che parteciperanno alla Clinica saranno privilegiati come luoghi di tirocinio degli studenti della clinica, </w:t>
      </w:r>
      <w:r>
        <w:rPr>
          <w:b/>
          <w:sz w:val="24"/>
          <w:szCs w:val="24"/>
        </w:rPr>
        <w:t>per un impegno previs</w:t>
      </w:r>
      <w:r>
        <w:rPr>
          <w:b/>
          <w:sz w:val="24"/>
          <w:szCs w:val="24"/>
        </w:rPr>
        <w:t xml:space="preserve">to pari a </w:t>
      </w:r>
      <w:r>
        <w:rPr>
          <w:b/>
          <w:sz w:val="24"/>
          <w:szCs w:val="24"/>
        </w:rPr>
        <w:t>circa 180 ore di Tirocinio.</w:t>
      </w:r>
    </w:p>
    <w:p w:rsidR="00DE689C" w:rsidRDefault="00DE689C">
      <w:pPr>
        <w:pStyle w:val="normal"/>
        <w:widowControl w:val="0"/>
        <w:jc w:val="both"/>
        <w:rPr>
          <w:sz w:val="24"/>
          <w:szCs w:val="24"/>
        </w:rPr>
      </w:pPr>
    </w:p>
    <w:p w:rsidR="00DE689C" w:rsidRDefault="007734E5">
      <w:pPr>
        <w:pStyle w:val="normal"/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La clinica legale mira ad accrescere le competenze teoriche e pratiche dei partecipanti mostrando come si preparano i richiedenti al confronto con la procedura di valutazione della loro domanda. I partecipanti svolgeranno sotto la guida del docente e dei t</w:t>
      </w:r>
      <w:r>
        <w:rPr>
          <w:sz w:val="24"/>
          <w:szCs w:val="24"/>
        </w:rPr>
        <w:t xml:space="preserve">utors, attività di preparazione dei richiedenti asilo per l’intervista alla Commissione territoriale per il riconoscimento della protezione internazionale ed esamineranno, collaborando anche alla loro istruzione, i ricorsi contro le decisioni della stessa </w:t>
      </w:r>
      <w:r>
        <w:rPr>
          <w:sz w:val="24"/>
          <w:szCs w:val="24"/>
        </w:rPr>
        <w:t>Commissione. I partecipanti lavoreranno sulle le modalità di raccolta delle storie dei richiedenti asilo, su come validarle confrontandole con le informazioni sui paesi di provenienza (ECOI) e con i racconti dei viaggi di altri richiedenti e, infine, inqua</w:t>
      </w:r>
      <w:r>
        <w:rPr>
          <w:sz w:val="24"/>
          <w:szCs w:val="24"/>
        </w:rPr>
        <w:t xml:space="preserve">drandole giuridicamente. Si dedicherà </w:t>
      </w:r>
      <w:r>
        <w:rPr>
          <w:sz w:val="24"/>
          <w:szCs w:val="24"/>
          <w:u w:val="single"/>
        </w:rPr>
        <w:t>particolare attenzione alla recentissima sentenza della cassazione che definisce criteri stringenti per l’argomentazione della richiesta di permesso umanitario.</w:t>
      </w:r>
      <w:r>
        <w:rPr>
          <w:sz w:val="24"/>
          <w:szCs w:val="24"/>
        </w:rPr>
        <w:t xml:space="preserve"> </w:t>
      </w:r>
    </w:p>
    <w:p w:rsidR="00DE689C" w:rsidRDefault="00DE689C">
      <w:pPr>
        <w:pStyle w:val="normal"/>
        <w:widowControl w:val="0"/>
        <w:jc w:val="both"/>
        <w:rPr>
          <w:sz w:val="24"/>
          <w:szCs w:val="24"/>
        </w:rPr>
      </w:pPr>
    </w:p>
    <w:p w:rsidR="00DE689C" w:rsidRDefault="007734E5">
      <w:pPr>
        <w:pStyle w:val="normal"/>
        <w:widowControl w:val="0"/>
        <w:rPr>
          <w:sz w:val="24"/>
          <w:szCs w:val="24"/>
        </w:rPr>
      </w:pPr>
      <w:r>
        <w:br w:type="page"/>
      </w:r>
    </w:p>
    <w:p w:rsidR="00DE689C" w:rsidRDefault="007734E5">
      <w:pPr>
        <w:pStyle w:val="normal"/>
        <w:widowControl w:val="0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ARTICOLAZIONE DELLA CLINICA: </w:t>
      </w:r>
    </w:p>
    <w:p w:rsidR="00DE689C" w:rsidRDefault="007734E5">
      <w:pPr>
        <w:pStyle w:val="normal"/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Prima fase di formazion</w:t>
      </w:r>
      <w:r>
        <w:rPr>
          <w:b/>
          <w:sz w:val="24"/>
          <w:szCs w:val="24"/>
        </w:rPr>
        <w:t>e</w:t>
      </w:r>
      <w:r>
        <w:rPr>
          <w:sz w:val="24"/>
          <w:szCs w:val="24"/>
        </w:rPr>
        <w:t>: in questa fase, che durerà circa un mese, il docente terrà delle lezioni e distribuirà materiali sul diritto dell’asilo e sulle procedure connesse nonché sulle fonti documentali per la preparazione delle richieste di asilo. A questa parte della formazio</w:t>
      </w:r>
      <w:r>
        <w:rPr>
          <w:sz w:val="24"/>
          <w:szCs w:val="24"/>
        </w:rPr>
        <w:t>ne parteciperanno anche una ventina di operatori dei CAS, che avranno così una formazione uguale a quella degli studenti. La scelta è stata fatta per facilitare poi la comprensione e la collaborazione tra operatori e studenti durante la parte che questi ul</w:t>
      </w:r>
      <w:r>
        <w:rPr>
          <w:sz w:val="24"/>
          <w:szCs w:val="24"/>
        </w:rPr>
        <w:t>timi svolgeranno all’interno dei CAS. In questa fase sarà analizzata e discussa la giurisprudenza della sezione specializzata della clinica legale in modo che studenti e operatori possano conoscerne gli orientamenti.</w:t>
      </w:r>
    </w:p>
    <w:p w:rsidR="00DE689C" w:rsidRDefault="007734E5">
      <w:pPr>
        <w:pStyle w:val="normal"/>
        <w:widowControl w:val="0"/>
        <w:rPr>
          <w:sz w:val="24"/>
          <w:szCs w:val="24"/>
        </w:rPr>
      </w:pPr>
      <w:r>
        <w:rPr>
          <w:b/>
          <w:sz w:val="24"/>
          <w:szCs w:val="24"/>
        </w:rPr>
        <w:t>Seconda fase learning by doing</w:t>
      </w:r>
      <w:r>
        <w:rPr>
          <w:sz w:val="24"/>
          <w:szCs w:val="24"/>
        </w:rPr>
        <w:t>: in ques</w:t>
      </w:r>
      <w:r>
        <w:rPr>
          <w:sz w:val="24"/>
          <w:szCs w:val="24"/>
        </w:rPr>
        <w:t xml:space="preserve">ta seconda fase gli studenti saranno destinati ad operare presso: </w:t>
      </w:r>
    </w:p>
    <w:p w:rsidR="00DE689C" w:rsidRDefault="00DE689C">
      <w:pPr>
        <w:pStyle w:val="normal"/>
        <w:widowControl w:val="0"/>
        <w:rPr>
          <w:sz w:val="24"/>
          <w:szCs w:val="24"/>
        </w:rPr>
      </w:pPr>
    </w:p>
    <w:p w:rsidR="00DE689C" w:rsidRDefault="007734E5">
      <w:pPr>
        <w:pStyle w:val="normal"/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1) la </w:t>
      </w:r>
      <w:r>
        <w:rPr>
          <w:b/>
          <w:sz w:val="24"/>
          <w:szCs w:val="24"/>
        </w:rPr>
        <w:t>Sezione specializzata in materia di immigrazione del Tribunale di Firenze</w:t>
      </w:r>
      <w:r>
        <w:rPr>
          <w:sz w:val="24"/>
          <w:szCs w:val="24"/>
        </w:rPr>
        <w:t xml:space="preserve">. In questa sede collaboreranno con i singoli giudici, svolgendo per loro la fase di istruzione della decisione, imparando a raccogliere le informazioni sui paesi di origine (consultando le ECOI) e la giurisprudenza pertinente per ogni singolo caso. </w:t>
      </w:r>
    </w:p>
    <w:p w:rsidR="00DE689C" w:rsidRDefault="00DE689C">
      <w:pPr>
        <w:pStyle w:val="normal"/>
        <w:widowControl w:val="0"/>
        <w:rPr>
          <w:sz w:val="24"/>
          <w:szCs w:val="24"/>
        </w:rPr>
      </w:pPr>
    </w:p>
    <w:p w:rsidR="00DE689C" w:rsidRDefault="007734E5">
      <w:pPr>
        <w:pStyle w:val="normal"/>
        <w:widowControl w:val="0"/>
        <w:rPr>
          <w:b/>
          <w:sz w:val="24"/>
          <w:szCs w:val="24"/>
        </w:rPr>
      </w:pPr>
      <w:r>
        <w:rPr>
          <w:sz w:val="24"/>
          <w:szCs w:val="24"/>
        </w:rPr>
        <w:t>2) u</w:t>
      </w:r>
      <w:r>
        <w:rPr>
          <w:sz w:val="24"/>
          <w:szCs w:val="24"/>
        </w:rPr>
        <w:t xml:space="preserve">no dei </w:t>
      </w:r>
      <w:r>
        <w:rPr>
          <w:b/>
          <w:sz w:val="24"/>
          <w:szCs w:val="24"/>
        </w:rPr>
        <w:t>CAS degli enti con cui sono state stipulate convenzioni</w:t>
      </w:r>
      <w:r>
        <w:rPr>
          <w:sz w:val="24"/>
          <w:szCs w:val="24"/>
        </w:rPr>
        <w:t>*. In questa attività saranno seguiti sia dai tutors universitari che da quelli delle strutture ospitanti. Durante questa seconda fase tutti gli studenti della clinica si incontreranno settimana</w:t>
      </w:r>
      <w:r>
        <w:rPr>
          <w:sz w:val="24"/>
          <w:szCs w:val="24"/>
        </w:rPr>
        <w:t xml:space="preserve">lmente con gli operatori dei CAS che hanno partecipato alla clinica, il docente e i tutors per discutere collettivamente le esperienze avute e confrontarle fra loro. Per gli operatori di CAS questa sarà occasione di vedere da vicino la giurisprudenza e le </w:t>
      </w:r>
      <w:r>
        <w:rPr>
          <w:sz w:val="24"/>
          <w:szCs w:val="24"/>
        </w:rPr>
        <w:t>modalità operative della sezione specializzata del Tribunale di Firenze.</w:t>
      </w:r>
    </w:p>
    <w:p w:rsidR="00DE689C" w:rsidRDefault="00DE689C">
      <w:pPr>
        <w:pStyle w:val="normal"/>
        <w:widowControl w:val="0"/>
        <w:rPr>
          <w:b/>
          <w:sz w:val="24"/>
          <w:szCs w:val="24"/>
        </w:rPr>
      </w:pPr>
    </w:p>
    <w:p w:rsidR="00DE689C" w:rsidRDefault="007734E5">
      <w:pPr>
        <w:pStyle w:val="normal"/>
        <w:widowControl w:val="0"/>
      </w:pPr>
      <w:r>
        <w:rPr>
          <w:b/>
        </w:rPr>
        <w:t>*</w:t>
      </w:r>
      <w:r>
        <w:t>Saranno privilegiati per lo svolgimento della formazione sul campo i centri i cui operatori di CAS hanno partecipato alla formazione teorica e che hanno quindi già creato un rapport</w:t>
      </w:r>
      <w:r>
        <w:t xml:space="preserve">o con gli studenti. </w:t>
      </w:r>
    </w:p>
    <w:p w:rsidR="00DE689C" w:rsidRDefault="00DE689C">
      <w:pPr>
        <w:pStyle w:val="normal"/>
        <w:widowControl w:val="0"/>
        <w:rPr>
          <w:sz w:val="24"/>
          <w:szCs w:val="24"/>
        </w:rPr>
      </w:pPr>
    </w:p>
    <w:p w:rsidR="00DE689C" w:rsidRDefault="007734E5">
      <w:pPr>
        <w:pStyle w:val="normal"/>
        <w:widowControl w:val="0"/>
        <w:rPr>
          <w:sz w:val="24"/>
          <w:szCs w:val="24"/>
        </w:rPr>
      </w:pPr>
      <w:r>
        <w:rPr>
          <w:b/>
          <w:sz w:val="24"/>
          <w:szCs w:val="24"/>
        </w:rPr>
        <w:t>CALENDARIO</w:t>
      </w:r>
      <w:r>
        <w:rPr>
          <w:sz w:val="24"/>
          <w:szCs w:val="24"/>
        </w:rPr>
        <w:t xml:space="preserve"> Gli incontri si terranno da venerdì 6 aprile ogni venerdì mattina, normalmente salvo diverso preavviso dalle 9.00 alle 13.00, presso il polo delle scienze sociali (Novoli) dell’</w:t>
      </w:r>
      <w:r>
        <w:rPr>
          <w:sz w:val="24"/>
          <w:szCs w:val="24"/>
        </w:rPr>
        <w:t>U</w:t>
      </w:r>
      <w:r>
        <w:rPr>
          <w:sz w:val="24"/>
          <w:szCs w:val="24"/>
        </w:rPr>
        <w:t>niversità di Firenze</w:t>
      </w:r>
    </w:p>
    <w:p w:rsidR="00DE689C" w:rsidRDefault="00DE689C">
      <w:pPr>
        <w:pStyle w:val="normal"/>
        <w:widowControl w:val="0"/>
        <w:rPr>
          <w:sz w:val="24"/>
          <w:szCs w:val="24"/>
        </w:rPr>
      </w:pPr>
    </w:p>
    <w:p w:rsidR="00DE689C" w:rsidRDefault="007734E5">
      <w:pPr>
        <w:pStyle w:val="normal"/>
        <w:widowControl w:val="0"/>
        <w:rPr>
          <w:sz w:val="24"/>
          <w:szCs w:val="24"/>
        </w:rPr>
      </w:pPr>
      <w:r>
        <w:rPr>
          <w:b/>
          <w:sz w:val="24"/>
          <w:szCs w:val="24"/>
        </w:rPr>
        <w:t>PARTECIPANTI</w:t>
      </w:r>
    </w:p>
    <w:p w:rsidR="00DE689C" w:rsidRDefault="007734E5">
      <w:pPr>
        <w:pStyle w:val="normal"/>
        <w:widowControl w:val="0"/>
        <w:rPr>
          <w:b/>
          <w:strike/>
          <w:sz w:val="24"/>
          <w:szCs w:val="24"/>
        </w:rPr>
      </w:pPr>
      <w:r>
        <w:rPr>
          <w:sz w:val="24"/>
          <w:szCs w:val="24"/>
        </w:rPr>
        <w:t>La clinica</w:t>
      </w:r>
      <w:r>
        <w:rPr>
          <w:sz w:val="24"/>
          <w:szCs w:val="24"/>
        </w:rPr>
        <w:t xml:space="preserve"> legale potrà accogliere al massimo 20/25 operatori e altrettanti studenti </w:t>
      </w:r>
    </w:p>
    <w:p w:rsidR="00DE689C" w:rsidRDefault="007734E5">
      <w:pPr>
        <w:pStyle w:val="normal"/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Se le domande fossero in sopranumero </w:t>
      </w:r>
      <w:r>
        <w:rPr>
          <w:sz w:val="24"/>
          <w:szCs w:val="24"/>
        </w:rPr>
        <w:t>rispetto ai posti disponibili saranno utilizzati i seguenti criteri:</w:t>
      </w:r>
    </w:p>
    <w:p w:rsidR="00DE689C" w:rsidRDefault="007734E5">
      <w:pPr>
        <w:pStyle w:val="normal"/>
        <w:widowControl w:val="0"/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sarà data priorità alla possibilità di favorire la partecipazione del maggior numero possibile di soggetti gestori</w:t>
      </w:r>
    </w:p>
    <w:p w:rsidR="00DE689C" w:rsidRDefault="007734E5">
      <w:pPr>
        <w:pStyle w:val="normal"/>
        <w:widowControl w:val="0"/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si privilegeranno gli operatori che si occupano principalmente</w:t>
      </w:r>
      <w:r>
        <w:rPr>
          <w:color w:val="FF3333"/>
          <w:sz w:val="24"/>
          <w:szCs w:val="24"/>
        </w:rPr>
        <w:t>,</w:t>
      </w:r>
      <w:r>
        <w:rPr>
          <w:sz w:val="24"/>
          <w:szCs w:val="24"/>
        </w:rPr>
        <w:t xml:space="preserve"> nell'ambito della propria attività presso i CAS, di preparare e accompagnare </w:t>
      </w:r>
      <w:r>
        <w:rPr>
          <w:sz w:val="24"/>
          <w:szCs w:val="24"/>
        </w:rPr>
        <w:t xml:space="preserve">i richiedenti </w:t>
      </w:r>
      <w:r>
        <w:rPr>
          <w:sz w:val="24"/>
          <w:szCs w:val="24"/>
        </w:rPr>
        <w:t>protezione internazionale al colloquio in Commissione territoriale.</w:t>
      </w:r>
    </w:p>
    <w:p w:rsidR="00DE689C" w:rsidRDefault="007734E5">
      <w:pPr>
        <w:pStyle w:val="normal"/>
        <w:widowControl w:val="0"/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conoscenza della lingua inglese (per la lettura delle ECOI).</w:t>
      </w:r>
    </w:p>
    <w:p w:rsidR="00DE689C" w:rsidRDefault="00DE689C">
      <w:pPr>
        <w:pStyle w:val="normal"/>
        <w:widowControl w:val="0"/>
        <w:rPr>
          <w:b/>
          <w:sz w:val="24"/>
          <w:szCs w:val="24"/>
        </w:rPr>
      </w:pPr>
    </w:p>
    <w:p w:rsidR="00DE689C" w:rsidRDefault="007734E5">
      <w:pPr>
        <w:pStyle w:val="normal"/>
        <w:widowControl w:val="0"/>
        <w:rPr>
          <w:b/>
          <w:sz w:val="24"/>
          <w:szCs w:val="24"/>
        </w:rPr>
      </w:pPr>
      <w:r>
        <w:br w:type="page"/>
      </w:r>
    </w:p>
    <w:p w:rsidR="00DE689C" w:rsidRDefault="00DE689C">
      <w:pPr>
        <w:pStyle w:val="normal"/>
        <w:widowControl w:val="0"/>
        <w:rPr>
          <w:b/>
          <w:sz w:val="24"/>
          <w:szCs w:val="24"/>
        </w:rPr>
      </w:pPr>
    </w:p>
    <w:p w:rsidR="00DE689C" w:rsidRDefault="007734E5">
      <w:pPr>
        <w:pStyle w:val="normal"/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Gli operatori che vorranno partecipare alla clinica legale devono fare domanda mandando una mail  </w:t>
      </w:r>
      <w:hyperlink r:id="rId11">
        <w:r>
          <w:rPr>
            <w:b/>
            <w:color w:val="000080"/>
            <w:sz w:val="24"/>
            <w:szCs w:val="24"/>
            <w:u w:val="single"/>
          </w:rPr>
          <w:t>clinichelegali@dsg.unifi.it</w:t>
        </w:r>
      </w:hyperlink>
      <w:r>
        <w:rPr>
          <w:b/>
          <w:sz w:val="24"/>
          <w:szCs w:val="24"/>
        </w:rPr>
        <w:t>, allegando un loro curriculum vitae da cui risulta la funzione svolta nel CAS.</w:t>
      </w:r>
    </w:p>
    <w:p w:rsidR="00DE689C" w:rsidRDefault="007734E5">
      <w:pPr>
        <w:pStyle w:val="normal"/>
        <w:widowControl w:val="0"/>
        <w:rPr>
          <w:sz w:val="24"/>
          <w:szCs w:val="24"/>
        </w:rPr>
      </w:pPr>
      <w:r>
        <w:rPr>
          <w:b/>
          <w:sz w:val="24"/>
          <w:szCs w:val="24"/>
        </w:rPr>
        <w:t>Alla stessa mail potranno essere chiesti tutti i chiarimenti sul funzionamento della clinica legale.</w:t>
      </w:r>
    </w:p>
    <w:p w:rsidR="00DE689C" w:rsidRDefault="00DE689C">
      <w:pPr>
        <w:pStyle w:val="normal"/>
        <w:widowControl w:val="0"/>
        <w:rPr>
          <w:sz w:val="24"/>
          <w:szCs w:val="24"/>
        </w:rPr>
      </w:pPr>
    </w:p>
    <w:p w:rsidR="00DE689C" w:rsidRDefault="007734E5">
      <w:pPr>
        <w:pStyle w:val="normal"/>
        <w:widowControl w:val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Le domande dovranno pervenire con le modalità sopra indicate entro venerdì 29 marzo 2018.</w:t>
      </w:r>
    </w:p>
    <w:p w:rsidR="00DE689C" w:rsidRDefault="00DE689C">
      <w:pPr>
        <w:pStyle w:val="normal"/>
        <w:widowControl w:val="0"/>
        <w:rPr>
          <w:sz w:val="24"/>
          <w:szCs w:val="24"/>
        </w:rPr>
      </w:pPr>
    </w:p>
    <w:p w:rsidR="00DE689C" w:rsidRDefault="007734E5">
      <w:pPr>
        <w:pStyle w:val="normal"/>
        <w:widowControl w:val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Entro martedì 4 aprile 2018 saranno comunicati i nominativi degli ammessi.</w:t>
      </w:r>
    </w:p>
    <w:p w:rsidR="00DE689C" w:rsidRDefault="00DE689C">
      <w:pPr>
        <w:pStyle w:val="normal"/>
        <w:widowControl w:val="0"/>
        <w:jc w:val="both"/>
        <w:rPr>
          <w:sz w:val="24"/>
          <w:szCs w:val="24"/>
        </w:rPr>
      </w:pPr>
    </w:p>
    <w:sectPr w:rsidR="00DE689C" w:rsidSect="00DE689C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304" w:bottom="1701" w:left="1276" w:header="68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4E5" w:rsidRDefault="007734E5" w:rsidP="00DE689C">
      <w:r>
        <w:separator/>
      </w:r>
    </w:p>
  </w:endnote>
  <w:endnote w:type="continuationSeparator" w:id="0">
    <w:p w:rsidR="007734E5" w:rsidRDefault="007734E5" w:rsidP="00DE68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89C" w:rsidRDefault="00DE689C">
    <w:pPr>
      <w:pStyle w:val="normal"/>
      <w:widowControl w:val="0"/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89C" w:rsidRDefault="00DE689C">
    <w:pPr>
      <w:pStyle w:val="normal"/>
      <w:widowControl w:val="0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89C" w:rsidRDefault="00DE689C">
    <w:pPr>
      <w:pStyle w:val="normal"/>
      <w:widowControl w:val="0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4E5" w:rsidRDefault="007734E5" w:rsidP="00DE689C">
      <w:r>
        <w:separator/>
      </w:r>
    </w:p>
  </w:footnote>
  <w:footnote w:type="continuationSeparator" w:id="0">
    <w:p w:rsidR="007734E5" w:rsidRDefault="007734E5" w:rsidP="00DE68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89C" w:rsidRDefault="007734E5">
    <w:pPr>
      <w:pStyle w:val="normal"/>
      <w:widowControl w:val="0"/>
      <w:jc w:val="center"/>
      <w:rPr>
        <w:sz w:val="24"/>
        <w:szCs w:val="24"/>
      </w:rPr>
    </w:pPr>
    <w:r>
      <w:rPr>
        <w:sz w:val="24"/>
        <w:szCs w:val="24"/>
      </w:rPr>
      <w:t xml:space="preserve">            </w:t>
    </w:r>
    <w:r>
      <w:rPr>
        <w:noProof/>
        <w:sz w:val="24"/>
        <w:szCs w:val="24"/>
      </w:rPr>
      <w:drawing>
        <wp:inline distT="114300" distB="114300" distL="114300" distR="114300">
          <wp:extent cx="2996247" cy="1110804"/>
          <wp:effectExtent l="0" t="0" r="0" b="0"/>
          <wp:docPr id="1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96247" cy="11108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 xml:space="preserve">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89C" w:rsidRDefault="00DE689C">
    <w:pPr>
      <w:pStyle w:val="normal"/>
      <w:widowControl w:val="0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E15C1"/>
    <w:multiLevelType w:val="multilevel"/>
    <w:tmpl w:val="B1326F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89C"/>
    <w:rsid w:val="001C5600"/>
    <w:rsid w:val="007734E5"/>
    <w:rsid w:val="007F016F"/>
    <w:rsid w:val="00DE6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DE689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DE689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DE689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DE689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DE689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DE689C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DE689C"/>
  </w:style>
  <w:style w:type="table" w:customStyle="1" w:styleId="TableNormal">
    <w:name w:val="Table Normal"/>
    <w:rsid w:val="00DE689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DE689C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DE689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E689C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016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01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linichelegali@dsg.unifi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4568</Characters>
  <Application>Microsoft Office Word</Application>
  <DocSecurity>0</DocSecurity>
  <Lines>38</Lines>
  <Paragraphs>10</Paragraphs>
  <ScaleCrop>false</ScaleCrop>
  <Company/>
  <LinksUpToDate>false</LinksUpToDate>
  <CharactersWithSpaces>5359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Mugnaini</dc:creator>
  <cp:lastModifiedBy>Windows User</cp:lastModifiedBy>
  <cp:revision>2</cp:revision>
  <dcterms:created xsi:type="dcterms:W3CDTF">2018-03-20T08:59:00Z</dcterms:created>
  <dcterms:modified xsi:type="dcterms:W3CDTF">2018-03-20T08:59:00Z</dcterms:modified>
</cp:coreProperties>
</file>