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1DD" w:rsidRDefault="00F561DD"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Pr="002906FD" w:rsidRDefault="00B6096C" w:rsidP="00B6096C">
      <w:pPr>
        <w:jc w:val="center"/>
        <w:rPr>
          <w:rFonts w:ascii="Bookman Old Style" w:hAnsi="Bookman Old Style"/>
          <w:b/>
        </w:rPr>
      </w:pPr>
    </w:p>
    <w:p w:rsidR="00B6096C" w:rsidRPr="002906FD" w:rsidRDefault="00B6096C" w:rsidP="00B6096C">
      <w:pPr>
        <w:jc w:val="center"/>
        <w:rPr>
          <w:rFonts w:ascii="Bookman Old Style" w:hAnsi="Bookman Old Style"/>
          <w:b/>
        </w:rPr>
      </w:pPr>
    </w:p>
    <w:tbl>
      <w:tblPr>
        <w:tblW w:w="0" w:type="auto"/>
        <w:tblLook w:val="04A0"/>
      </w:tblPr>
      <w:tblGrid>
        <w:gridCol w:w="7087"/>
        <w:gridCol w:w="7087"/>
      </w:tblGrid>
      <w:tr w:rsidR="00B6096C" w:rsidRPr="002906FD" w:rsidTr="00177D83">
        <w:tc>
          <w:tcPr>
            <w:tcW w:w="7087" w:type="dxa"/>
          </w:tcPr>
          <w:p w:rsidR="00B6096C" w:rsidRPr="002906FD" w:rsidRDefault="00B6096C" w:rsidP="00177D83">
            <w:pPr>
              <w:jc w:val="center"/>
              <w:rPr>
                <w:rFonts w:ascii="Bookman Old Style" w:hAnsi="Bookman Old Style"/>
                <w:b/>
              </w:rPr>
            </w:pPr>
            <w:r>
              <w:rPr>
                <w:rFonts w:ascii="Bookman Old Style" w:hAnsi="Bookman Old Style"/>
                <w:noProof/>
                <w:lang w:eastAsia="it-IT"/>
              </w:rPr>
              <w:drawing>
                <wp:inline distT="0" distB="0" distL="0" distR="0">
                  <wp:extent cx="857250" cy="714375"/>
                  <wp:effectExtent l="19050" t="0" r="0" b="0"/>
                  <wp:docPr id="1" name="Immagine 1" descr="logo_2012 IFEL_Fond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2012 IFEL_Fondazione"/>
                          <pic:cNvPicPr>
                            <a:picLocks noChangeAspect="1" noChangeArrowheads="1"/>
                          </pic:cNvPicPr>
                        </pic:nvPicPr>
                        <pic:blipFill>
                          <a:blip r:embed="rId8" cstate="print"/>
                          <a:srcRect/>
                          <a:stretch>
                            <a:fillRect/>
                          </a:stretch>
                        </pic:blipFill>
                        <pic:spPr bwMode="auto">
                          <a:xfrm>
                            <a:off x="0" y="0"/>
                            <a:ext cx="857250" cy="714375"/>
                          </a:xfrm>
                          <a:prstGeom prst="rect">
                            <a:avLst/>
                          </a:prstGeom>
                          <a:noFill/>
                          <a:ln w="9525">
                            <a:noFill/>
                            <a:miter lim="800000"/>
                            <a:headEnd/>
                            <a:tailEnd/>
                          </a:ln>
                        </pic:spPr>
                      </pic:pic>
                    </a:graphicData>
                  </a:graphic>
                </wp:inline>
              </w:drawing>
            </w:r>
          </w:p>
        </w:tc>
        <w:tc>
          <w:tcPr>
            <w:tcW w:w="7087" w:type="dxa"/>
          </w:tcPr>
          <w:p w:rsidR="00B6096C" w:rsidRPr="002906FD" w:rsidRDefault="00B6096C" w:rsidP="00177D83">
            <w:pPr>
              <w:jc w:val="center"/>
              <w:rPr>
                <w:rFonts w:ascii="Bookman Old Style" w:hAnsi="Bookman Old Style"/>
                <w:b/>
              </w:rPr>
            </w:pPr>
            <w:r>
              <w:rPr>
                <w:rFonts w:ascii="Bookman Old Style" w:hAnsi="Bookman Old Style"/>
                <w:noProof/>
                <w:lang w:eastAsia="it-IT"/>
              </w:rPr>
              <w:drawing>
                <wp:inline distT="0" distB="0" distL="0" distR="0">
                  <wp:extent cx="657225" cy="933450"/>
                  <wp:effectExtent l="19050" t="0" r="9525" b="0"/>
                  <wp:docPr id="2" name="Immagine 1" descr="logo%20anci%20dor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20anci%20dorato"/>
                          <pic:cNvPicPr>
                            <a:picLocks noChangeAspect="1" noChangeArrowheads="1"/>
                          </pic:cNvPicPr>
                        </pic:nvPicPr>
                        <pic:blipFill>
                          <a:blip r:embed="rId9" cstate="print"/>
                          <a:srcRect/>
                          <a:stretch>
                            <a:fillRect/>
                          </a:stretch>
                        </pic:blipFill>
                        <pic:spPr bwMode="auto">
                          <a:xfrm>
                            <a:off x="0" y="0"/>
                            <a:ext cx="657225" cy="933450"/>
                          </a:xfrm>
                          <a:prstGeom prst="rect">
                            <a:avLst/>
                          </a:prstGeom>
                          <a:noFill/>
                          <a:ln w="9525">
                            <a:noFill/>
                            <a:miter lim="800000"/>
                            <a:headEnd/>
                            <a:tailEnd/>
                          </a:ln>
                        </pic:spPr>
                      </pic:pic>
                    </a:graphicData>
                  </a:graphic>
                </wp:inline>
              </w:drawing>
            </w:r>
          </w:p>
        </w:tc>
      </w:tr>
    </w:tbl>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B6096C" w:rsidRDefault="00B6096C" w:rsidP="00F561DD">
      <w:pPr>
        <w:spacing w:after="0" w:line="240" w:lineRule="auto"/>
        <w:jc w:val="center"/>
        <w:rPr>
          <w:rFonts w:ascii="Bookman Old Style" w:hAnsi="Bookman Old Style"/>
          <w:b/>
          <w:bCs/>
          <w:color w:val="000000"/>
        </w:rPr>
      </w:pPr>
    </w:p>
    <w:p w:rsidR="00F561DD" w:rsidRDefault="00F561DD" w:rsidP="00F561DD">
      <w:pPr>
        <w:spacing w:after="0" w:line="240" w:lineRule="auto"/>
        <w:jc w:val="center"/>
        <w:rPr>
          <w:rFonts w:ascii="Bookman Old Style" w:hAnsi="Bookman Old Style"/>
          <w:b/>
          <w:bCs/>
          <w:color w:val="000000"/>
        </w:rPr>
      </w:pPr>
      <w:r w:rsidRPr="00FA3F09">
        <w:rPr>
          <w:rFonts w:ascii="Bookman Old Style" w:hAnsi="Bookman Old Style"/>
          <w:b/>
          <w:bCs/>
          <w:color w:val="000000"/>
        </w:rPr>
        <w:t xml:space="preserve">LEGGE </w:t>
      </w:r>
      <w:proofErr w:type="spellStart"/>
      <w:r w:rsidRPr="00FA3F09">
        <w:rPr>
          <w:rFonts w:ascii="Bookman Old Style" w:hAnsi="Bookman Old Style"/>
          <w:b/>
          <w:bCs/>
          <w:color w:val="000000"/>
        </w:rPr>
        <w:t>DI</w:t>
      </w:r>
      <w:proofErr w:type="spellEnd"/>
      <w:r w:rsidRPr="00FA3F09">
        <w:rPr>
          <w:rFonts w:ascii="Bookman Old Style" w:hAnsi="Bookman Old Style"/>
          <w:b/>
          <w:bCs/>
          <w:color w:val="000000"/>
        </w:rPr>
        <w:t xml:space="preserve"> BILANCIO 2017</w:t>
      </w:r>
      <w:r w:rsidRPr="00FA3F09">
        <w:rPr>
          <w:rFonts w:ascii="Bookman Old Style" w:hAnsi="Bookman Old Style"/>
          <w:color w:val="000000"/>
        </w:rPr>
        <w:br/>
      </w:r>
    </w:p>
    <w:p w:rsidR="00A829BD" w:rsidRDefault="00B6096C" w:rsidP="00F561DD">
      <w:pPr>
        <w:spacing w:after="0" w:line="240" w:lineRule="auto"/>
        <w:jc w:val="center"/>
        <w:rPr>
          <w:rFonts w:ascii="Bookman Old Style" w:hAnsi="Bookman Old Style"/>
          <w:b/>
          <w:bCs/>
          <w:color w:val="000000"/>
        </w:rPr>
      </w:pPr>
      <w:r>
        <w:rPr>
          <w:rFonts w:ascii="Bookman Old Style" w:hAnsi="Bookman Old Style"/>
          <w:b/>
          <w:bCs/>
          <w:color w:val="000000"/>
        </w:rPr>
        <w:t>Approvata</w:t>
      </w:r>
      <w:r w:rsidR="00A829BD">
        <w:rPr>
          <w:rFonts w:ascii="Bookman Old Style" w:hAnsi="Bookman Old Style"/>
          <w:b/>
          <w:bCs/>
          <w:color w:val="000000"/>
        </w:rPr>
        <w:t xml:space="preserve"> </w:t>
      </w:r>
      <w:r>
        <w:rPr>
          <w:rFonts w:ascii="Bookman Old Style" w:hAnsi="Bookman Old Style"/>
          <w:b/>
          <w:bCs/>
          <w:color w:val="000000"/>
        </w:rPr>
        <w:t>definitivamente dal Senato il 7</w:t>
      </w:r>
      <w:r w:rsidR="00A829BD">
        <w:rPr>
          <w:rFonts w:ascii="Bookman Old Style" w:hAnsi="Bookman Old Style"/>
          <w:b/>
          <w:bCs/>
          <w:color w:val="000000"/>
        </w:rPr>
        <w:t xml:space="preserve"> dicembre 2016</w:t>
      </w:r>
    </w:p>
    <w:p w:rsidR="00B6096C" w:rsidRPr="00B6096C" w:rsidRDefault="00B6096C" w:rsidP="00F561DD">
      <w:pPr>
        <w:spacing w:after="0" w:line="240" w:lineRule="auto"/>
        <w:jc w:val="center"/>
        <w:rPr>
          <w:rFonts w:ascii="Bookman Old Style" w:hAnsi="Bookman Old Style"/>
          <w:bCs/>
          <w:i/>
          <w:color w:val="000000"/>
        </w:rPr>
      </w:pPr>
      <w:r w:rsidRPr="00B6096C">
        <w:rPr>
          <w:rFonts w:ascii="Bookman Old Style" w:hAnsi="Bookman Old Style"/>
          <w:bCs/>
          <w:i/>
          <w:color w:val="000000"/>
        </w:rPr>
        <w:t>(in attesa pubblicazione in G.U.)</w:t>
      </w:r>
    </w:p>
    <w:p w:rsidR="00F561DD" w:rsidRPr="00FA3F09" w:rsidRDefault="00F561DD" w:rsidP="00F561DD">
      <w:pPr>
        <w:spacing w:after="0" w:line="240" w:lineRule="auto"/>
        <w:jc w:val="center"/>
        <w:rPr>
          <w:rFonts w:ascii="Bookman Old Style" w:hAnsi="Bookman Old Style"/>
          <w:b/>
          <w:bCs/>
          <w:color w:val="000000"/>
        </w:rPr>
      </w:pPr>
    </w:p>
    <w:p w:rsidR="00F561DD" w:rsidRPr="00646537" w:rsidRDefault="0000157F" w:rsidP="00F561DD">
      <w:pPr>
        <w:spacing w:after="0" w:line="240" w:lineRule="auto"/>
        <w:jc w:val="center"/>
        <w:rPr>
          <w:rFonts w:ascii="Bookman Old Style" w:hAnsi="Bookman Old Style"/>
          <w:b/>
          <w:color w:val="000000"/>
        </w:rPr>
      </w:pPr>
      <w:r>
        <w:rPr>
          <w:rFonts w:ascii="Bookman Old Style" w:hAnsi="Bookman Old Style"/>
          <w:b/>
          <w:color w:val="000000"/>
        </w:rPr>
        <w:t xml:space="preserve">Nota di lettura delle norme </w:t>
      </w:r>
      <w:r w:rsidR="00A829BD">
        <w:rPr>
          <w:rFonts w:ascii="Bookman Old Style" w:hAnsi="Bookman Old Style"/>
          <w:b/>
          <w:color w:val="000000"/>
        </w:rPr>
        <w:t>di interesse degl</w:t>
      </w:r>
      <w:r>
        <w:rPr>
          <w:rFonts w:ascii="Bookman Old Style" w:hAnsi="Bookman Old Style"/>
          <w:b/>
          <w:color w:val="000000"/>
        </w:rPr>
        <w:t>i enti locali</w:t>
      </w:r>
    </w:p>
    <w:p w:rsidR="00F561DD" w:rsidRPr="00646537" w:rsidRDefault="00F561DD" w:rsidP="00F561DD">
      <w:pPr>
        <w:spacing w:after="0" w:line="240" w:lineRule="auto"/>
        <w:jc w:val="center"/>
        <w:rPr>
          <w:rFonts w:ascii="Bookman Old Style" w:hAnsi="Bookman Old Style"/>
          <w:b/>
          <w:color w:val="000000"/>
        </w:rPr>
      </w:pPr>
    </w:p>
    <w:p w:rsidR="00B6096C" w:rsidRDefault="00B6096C">
      <w:pPr>
        <w:rPr>
          <w:rFonts w:ascii="Bookman Old Style" w:hAnsi="Bookman Old Style"/>
          <w:color w:val="000000"/>
        </w:rPr>
      </w:pPr>
      <w:r>
        <w:rPr>
          <w:rFonts w:ascii="Bookman Old Style" w:hAnsi="Bookman Old Style"/>
          <w:color w:val="000000"/>
        </w:rPr>
        <w:br w:type="page"/>
      </w:r>
    </w:p>
    <w:p w:rsidR="00F561DD" w:rsidRDefault="00F561DD" w:rsidP="00F561DD">
      <w:pPr>
        <w:spacing w:after="0" w:line="240" w:lineRule="auto"/>
        <w:jc w:val="center"/>
        <w:rPr>
          <w:rFonts w:ascii="Bookman Old Style" w:hAnsi="Bookman Old Style"/>
          <w:color w:val="000000"/>
        </w:rPr>
      </w:pPr>
    </w:p>
    <w:tbl>
      <w:tblPr>
        <w:tblStyle w:val="Grigliatabella"/>
        <w:tblW w:w="0" w:type="auto"/>
        <w:tblLook w:val="04A0"/>
      </w:tblPr>
      <w:tblGrid>
        <w:gridCol w:w="7138"/>
        <w:gridCol w:w="17"/>
        <w:gridCol w:w="58"/>
        <w:gridCol w:w="7064"/>
        <w:gridCol w:w="150"/>
      </w:tblGrid>
      <w:tr w:rsidR="000A3A67" w:rsidTr="00481472">
        <w:trPr>
          <w:gridAfter w:val="1"/>
          <w:wAfter w:w="150" w:type="dxa"/>
        </w:trPr>
        <w:tc>
          <w:tcPr>
            <w:tcW w:w="14277" w:type="dxa"/>
            <w:gridSpan w:val="4"/>
          </w:tcPr>
          <w:p w:rsidR="000A3A67" w:rsidRDefault="00B22AA6" w:rsidP="00E64C89">
            <w:pPr>
              <w:shd w:val="clear" w:color="auto" w:fill="FFFFFF"/>
              <w:jc w:val="center"/>
              <w:rPr>
                <w:rFonts w:ascii="Bookman Old Style" w:eastAsia="Times New Roman" w:hAnsi="Bookman Old Style" w:cs="Arial"/>
                <w:b/>
                <w:lang w:eastAsia="it-IT"/>
              </w:rPr>
            </w:pPr>
            <w:r>
              <w:rPr>
                <w:rFonts w:ascii="Bookman Old Style" w:eastAsia="Times New Roman" w:hAnsi="Bookman Old Style" w:cs="Arial"/>
                <w:b/>
                <w:lang w:eastAsia="it-IT"/>
              </w:rPr>
              <w:t>Articolo 1</w:t>
            </w:r>
          </w:p>
          <w:p w:rsidR="00E64C89" w:rsidRPr="00B22AA6" w:rsidRDefault="00E64C89" w:rsidP="00B22AA6">
            <w:pPr>
              <w:shd w:val="clear" w:color="auto" w:fill="FFFFFF"/>
              <w:jc w:val="center"/>
              <w:rPr>
                <w:rFonts w:ascii="Bookman Old Style" w:eastAsia="Times New Roman" w:hAnsi="Bookman Old Style" w:cs="Arial"/>
                <w:b/>
                <w:lang w:eastAsia="it-IT"/>
              </w:rPr>
            </w:pPr>
          </w:p>
        </w:tc>
      </w:tr>
      <w:tr w:rsidR="00843848" w:rsidTr="00481472">
        <w:trPr>
          <w:gridAfter w:val="1"/>
          <w:wAfter w:w="150" w:type="dxa"/>
        </w:trPr>
        <w:tc>
          <w:tcPr>
            <w:tcW w:w="14277" w:type="dxa"/>
            <w:gridSpan w:val="4"/>
          </w:tcPr>
          <w:p w:rsidR="005E1323" w:rsidRDefault="005E1323" w:rsidP="00B22AA6">
            <w:pPr>
              <w:shd w:val="clear" w:color="auto" w:fill="FFFFFF"/>
              <w:jc w:val="center"/>
              <w:rPr>
                <w:rFonts w:ascii="Bookman Old Style" w:eastAsia="Times New Roman" w:hAnsi="Bookman Old Style" w:cs="Arial"/>
                <w:b/>
                <w:i/>
                <w:lang w:eastAsia="it-IT"/>
              </w:rPr>
            </w:pPr>
          </w:p>
          <w:p w:rsidR="00843848" w:rsidRPr="00843848" w:rsidRDefault="00843848" w:rsidP="00B22AA6">
            <w:pPr>
              <w:shd w:val="clear" w:color="auto" w:fill="FFFFFF"/>
              <w:jc w:val="center"/>
              <w:rPr>
                <w:rFonts w:ascii="Bookman Old Style" w:eastAsia="Times New Roman" w:hAnsi="Bookman Old Style" w:cs="Arial"/>
                <w:b/>
                <w:i/>
                <w:lang w:eastAsia="it-IT"/>
              </w:rPr>
            </w:pPr>
            <w:r w:rsidRPr="00843848">
              <w:rPr>
                <w:rFonts w:ascii="Bookman Old Style" w:eastAsia="Times New Roman" w:hAnsi="Bookman Old Style" w:cs="Arial"/>
                <w:b/>
                <w:i/>
                <w:lang w:eastAsia="it-IT"/>
              </w:rPr>
              <w:t>Manutenzione Uffici giudiziari</w:t>
            </w:r>
          </w:p>
        </w:tc>
      </w:tr>
      <w:tr w:rsidR="00843848" w:rsidRPr="00843848" w:rsidTr="008856E3">
        <w:trPr>
          <w:gridAfter w:val="1"/>
          <w:wAfter w:w="150" w:type="dxa"/>
        </w:trPr>
        <w:tc>
          <w:tcPr>
            <w:tcW w:w="7155" w:type="dxa"/>
            <w:gridSpan w:val="2"/>
          </w:tcPr>
          <w:p w:rsidR="00843848" w:rsidRPr="00A829BD" w:rsidRDefault="00843848" w:rsidP="00843848">
            <w:pPr>
              <w:shd w:val="clear" w:color="auto" w:fill="FFFFFF"/>
              <w:jc w:val="both"/>
              <w:rPr>
                <w:rFonts w:ascii="Bookman Old Style" w:hAnsi="Bookman Old Style"/>
                <w:b/>
                <w:color w:val="231F20"/>
              </w:rPr>
            </w:pPr>
            <w:r w:rsidRPr="00A829BD">
              <w:rPr>
                <w:rFonts w:ascii="Bookman Old Style" w:hAnsi="Bookman Old Style"/>
                <w:b/>
                <w:color w:val="231F20"/>
              </w:rPr>
              <w:t>14. All’articolo 21-</w:t>
            </w:r>
            <w:r w:rsidRPr="00A829BD">
              <w:rPr>
                <w:rFonts w:ascii="Bookman Old Style" w:hAnsi="Bookman Old Style"/>
                <w:b/>
                <w:i/>
                <w:iCs/>
                <w:color w:val="231F20"/>
              </w:rPr>
              <w:t xml:space="preserve">quinquies </w:t>
            </w:r>
            <w:r w:rsidRPr="00A829BD">
              <w:rPr>
                <w:rFonts w:ascii="Bookman Old Style" w:hAnsi="Bookman Old Style"/>
                <w:b/>
                <w:color w:val="231F20"/>
              </w:rPr>
              <w:t>del decreto legge 27 giugno 2015, n. 83, convertito, con modificazioni, dalla legge 6 agosto</w:t>
            </w:r>
            <w:r w:rsidR="008856E3">
              <w:rPr>
                <w:rFonts w:ascii="Bookman Old Style" w:hAnsi="Bookman Old Style"/>
                <w:b/>
                <w:color w:val="231F20"/>
              </w:rPr>
              <w:t xml:space="preserve"> </w:t>
            </w:r>
            <w:r w:rsidRPr="00A829BD">
              <w:rPr>
                <w:rFonts w:ascii="Bookman Old Style" w:hAnsi="Bookman Old Style"/>
                <w:b/>
                <w:color w:val="231F20"/>
              </w:rPr>
              <w:t>2015, n. 132, sono apportate le seguenti modificazioni:</w:t>
            </w:r>
            <w:r w:rsidRPr="00A829BD">
              <w:rPr>
                <w:rFonts w:ascii="Bookman Old Style" w:hAnsi="Bookman Old Style"/>
                <w:b/>
                <w:color w:val="231F20"/>
              </w:rPr>
              <w:br/>
            </w:r>
            <w:r w:rsidRPr="00A829BD">
              <w:rPr>
                <w:rFonts w:ascii="Bookman Old Style" w:hAnsi="Bookman Old Style"/>
                <w:b/>
                <w:i/>
                <w:iCs/>
                <w:color w:val="231F20"/>
              </w:rPr>
              <w:t xml:space="preserve">a) </w:t>
            </w:r>
            <w:r w:rsidRPr="00A829BD">
              <w:rPr>
                <w:rFonts w:ascii="Bookman Old Style" w:hAnsi="Bookman Old Style"/>
                <w:b/>
                <w:color w:val="231F20"/>
              </w:rPr>
              <w:t>al comma 1, le parole: «31 dicembre 2016» sono sostituite dalle seguenti: «31 dicembre 2017»;</w:t>
            </w:r>
          </w:p>
          <w:p w:rsidR="00843848" w:rsidRPr="00843848" w:rsidRDefault="00843848" w:rsidP="008856E3">
            <w:pPr>
              <w:shd w:val="clear" w:color="auto" w:fill="FFFFFF"/>
              <w:jc w:val="both"/>
              <w:rPr>
                <w:rFonts w:ascii="Bookman Old Style" w:hAnsi="Bookman Old Style"/>
                <w:b/>
                <w:bCs/>
                <w:color w:val="000000"/>
              </w:rPr>
            </w:pPr>
            <w:r w:rsidRPr="00A829BD">
              <w:rPr>
                <w:rFonts w:ascii="Bookman Old Style" w:hAnsi="Bookman Old Style"/>
                <w:b/>
                <w:i/>
                <w:iCs/>
                <w:color w:val="231F20"/>
              </w:rPr>
              <w:t xml:space="preserve">b) </w:t>
            </w:r>
            <w:r w:rsidRPr="00A829BD">
              <w:rPr>
                <w:rFonts w:ascii="Bookman Old Style" w:hAnsi="Bookman Old Style"/>
                <w:b/>
                <w:color w:val="231F20"/>
              </w:rPr>
              <w:t>al comma 3, le parole: «e del 20 per cento per l’anno 2016» sono sostituite dalle seguenti: «, del 20 per cento per l’anno</w:t>
            </w:r>
            <w:r w:rsidR="008856E3">
              <w:rPr>
                <w:rFonts w:ascii="Bookman Old Style" w:hAnsi="Bookman Old Style"/>
                <w:b/>
                <w:color w:val="231F20"/>
              </w:rPr>
              <w:t xml:space="preserve"> </w:t>
            </w:r>
            <w:r w:rsidRPr="00A829BD">
              <w:rPr>
                <w:rFonts w:ascii="Bookman Old Style" w:hAnsi="Bookman Old Style"/>
                <w:b/>
                <w:color w:val="231F20"/>
              </w:rPr>
              <w:t>2016 e del 15 per cento per l’anno 2017».</w:t>
            </w:r>
          </w:p>
        </w:tc>
        <w:tc>
          <w:tcPr>
            <w:tcW w:w="7122" w:type="dxa"/>
            <w:gridSpan w:val="2"/>
          </w:tcPr>
          <w:p w:rsidR="00843848" w:rsidRPr="00843848" w:rsidRDefault="00A829BD" w:rsidP="005E1323">
            <w:pPr>
              <w:pStyle w:val="NormaleWeb"/>
              <w:spacing w:before="0" w:beforeAutospacing="0" w:after="0" w:afterAutospacing="0"/>
              <w:jc w:val="both"/>
              <w:rPr>
                <w:rFonts w:ascii="Bookman Old Style" w:hAnsi="Bookman Old Style"/>
                <w:b/>
                <w:i/>
                <w:color w:val="000000"/>
              </w:rPr>
            </w:pPr>
            <w:r>
              <w:rPr>
                <w:rFonts w:ascii="Bookman Old Style" w:hAnsi="Bookman Old Style"/>
                <w:i/>
                <w:color w:val="000000"/>
                <w:sz w:val="22"/>
                <w:szCs w:val="22"/>
              </w:rPr>
              <w:t>Il comma, introdotto dalla Camera, p</w:t>
            </w:r>
            <w:r w:rsidR="00843848" w:rsidRPr="00843848">
              <w:rPr>
                <w:rFonts w:ascii="Bookman Old Style" w:hAnsi="Bookman Old Style"/>
                <w:bCs/>
                <w:i/>
                <w:color w:val="000000"/>
                <w:sz w:val="22"/>
                <w:szCs w:val="22"/>
              </w:rPr>
              <w:t xml:space="preserve">roroga </w:t>
            </w:r>
            <w:r w:rsidR="00843848" w:rsidRPr="00843848">
              <w:rPr>
                <w:rFonts w:ascii="Bookman Old Style" w:hAnsi="Bookman Old Style"/>
                <w:i/>
                <w:color w:val="000000"/>
                <w:sz w:val="22"/>
                <w:szCs w:val="22"/>
              </w:rPr>
              <w:t xml:space="preserve">dal 31 dicembre 2016 al </w:t>
            </w:r>
            <w:r w:rsidR="00843848" w:rsidRPr="00843848">
              <w:rPr>
                <w:rFonts w:ascii="Bookman Old Style" w:hAnsi="Bookman Old Style"/>
                <w:bCs/>
                <w:i/>
                <w:color w:val="000000"/>
                <w:sz w:val="22"/>
                <w:szCs w:val="22"/>
              </w:rPr>
              <w:t xml:space="preserve">31 dicembre 2017 </w:t>
            </w:r>
            <w:r w:rsidR="00843848" w:rsidRPr="00843848">
              <w:rPr>
                <w:rFonts w:ascii="Bookman Old Style" w:hAnsi="Bookman Old Style"/>
                <w:i/>
                <w:color w:val="000000"/>
                <w:sz w:val="22"/>
                <w:szCs w:val="22"/>
              </w:rPr>
              <w:t xml:space="preserve">la disposizione (art. 21-quinquies del D.L. n. 83 del 2015) che consente agli </w:t>
            </w:r>
            <w:r w:rsidR="00843848" w:rsidRPr="00843848">
              <w:rPr>
                <w:rFonts w:ascii="Bookman Old Style" w:hAnsi="Bookman Old Style"/>
                <w:bCs/>
                <w:i/>
                <w:color w:val="000000"/>
                <w:sz w:val="22"/>
                <w:szCs w:val="22"/>
              </w:rPr>
              <w:t xml:space="preserve">uffici giudiziari </w:t>
            </w:r>
            <w:r w:rsidR="00843848" w:rsidRPr="00843848">
              <w:rPr>
                <w:rFonts w:ascii="Bookman Old Style" w:hAnsi="Bookman Old Style"/>
                <w:i/>
                <w:color w:val="000000"/>
                <w:sz w:val="22"/>
                <w:szCs w:val="22"/>
              </w:rPr>
              <w:t xml:space="preserve">di </w:t>
            </w:r>
            <w:r w:rsidR="00843848" w:rsidRPr="00843848">
              <w:rPr>
                <w:rFonts w:ascii="Bookman Old Style" w:hAnsi="Bookman Old Style"/>
                <w:bCs/>
                <w:i/>
                <w:color w:val="000000"/>
                <w:sz w:val="22"/>
                <w:szCs w:val="22"/>
              </w:rPr>
              <w:t xml:space="preserve">avvalersi del personale comunale per le attività di </w:t>
            </w:r>
            <w:r w:rsidR="00843848" w:rsidRPr="00843848">
              <w:rPr>
                <w:rFonts w:ascii="Bookman Old Style" w:hAnsi="Bookman Old Style"/>
                <w:i/>
                <w:color w:val="000000"/>
                <w:sz w:val="22"/>
                <w:szCs w:val="22"/>
              </w:rPr>
              <w:t xml:space="preserve">custodia, telefonia, riparazione e </w:t>
            </w:r>
            <w:r w:rsidR="00843848" w:rsidRPr="00843848">
              <w:rPr>
                <w:rFonts w:ascii="Bookman Old Style" w:hAnsi="Bookman Old Style"/>
                <w:bCs/>
                <w:i/>
                <w:color w:val="000000"/>
                <w:sz w:val="22"/>
                <w:szCs w:val="22"/>
              </w:rPr>
              <w:t>manutenzione ordinaria</w:t>
            </w:r>
            <w:r w:rsidR="00843848" w:rsidRPr="00843848">
              <w:rPr>
                <w:rFonts w:ascii="Bookman Old Style" w:hAnsi="Bookman Old Style"/>
                <w:i/>
                <w:color w:val="000000"/>
                <w:sz w:val="22"/>
                <w:szCs w:val="22"/>
              </w:rPr>
              <w:t xml:space="preserve">, nonostante il passaggio dai comuni allo Stato delle spese di funzionamento delle sedi giudiziarie (previsto dalla legge di stabilità 2015). Il personale comunale potrà essere impiegato sulla base di specifici accordi da concludere con le amministrazioni locali (in base a una </w:t>
            </w:r>
            <w:r w:rsidR="00843848" w:rsidRPr="00843848">
              <w:rPr>
                <w:rFonts w:ascii="Bookman Old Style" w:hAnsi="Bookman Old Style"/>
                <w:b/>
                <w:i/>
                <w:color w:val="000000"/>
                <w:sz w:val="22"/>
                <w:szCs w:val="22"/>
              </w:rPr>
              <w:t>convenzione quadro previamente stipulata tra il Ministero della giustizia e l'ANCI</w:t>
            </w:r>
            <w:r w:rsidR="00843848" w:rsidRPr="00843848">
              <w:rPr>
                <w:rFonts w:ascii="Bookman Old Style" w:hAnsi="Bookman Old Style"/>
                <w:i/>
                <w:color w:val="000000"/>
                <w:sz w:val="22"/>
                <w:szCs w:val="22"/>
              </w:rPr>
              <w:t>).</w:t>
            </w:r>
          </w:p>
        </w:tc>
      </w:tr>
      <w:tr w:rsidR="00B22AA6" w:rsidTr="00481472">
        <w:trPr>
          <w:gridAfter w:val="1"/>
          <w:wAfter w:w="150" w:type="dxa"/>
        </w:trPr>
        <w:tc>
          <w:tcPr>
            <w:tcW w:w="14277" w:type="dxa"/>
            <w:gridSpan w:val="4"/>
          </w:tcPr>
          <w:p w:rsidR="005E1323" w:rsidRDefault="005E1323" w:rsidP="006E24E5">
            <w:pPr>
              <w:shd w:val="clear" w:color="auto" w:fill="FFFFFF"/>
              <w:jc w:val="center"/>
              <w:rPr>
                <w:rFonts w:ascii="Bookman Old Style" w:eastAsia="Times New Roman" w:hAnsi="Bookman Old Style" w:cs="Arial"/>
                <w:b/>
                <w:i/>
                <w:iCs/>
                <w:lang w:eastAsia="it-IT"/>
              </w:rPr>
            </w:pPr>
          </w:p>
          <w:p w:rsidR="00B22AA6" w:rsidRDefault="00B22AA6" w:rsidP="006E24E5">
            <w:pPr>
              <w:shd w:val="clear" w:color="auto" w:fill="FFFFFF"/>
              <w:jc w:val="center"/>
              <w:rPr>
                <w:rFonts w:ascii="Bookman Old Style" w:eastAsia="Times New Roman" w:hAnsi="Bookman Old Style" w:cs="Arial"/>
                <w:b/>
                <w:lang w:eastAsia="it-IT"/>
              </w:rPr>
            </w:pPr>
            <w:r w:rsidRPr="008B3D73">
              <w:rPr>
                <w:rFonts w:ascii="Bookman Old Style" w:eastAsia="Times New Roman" w:hAnsi="Bookman Old Style" w:cs="Arial"/>
                <w:b/>
                <w:i/>
                <w:iCs/>
                <w:lang w:eastAsia="it-IT"/>
              </w:rPr>
              <w:t>Proroga del blocco degli aumenti di aliqu</w:t>
            </w:r>
            <w:r w:rsidR="00A14E29">
              <w:rPr>
                <w:rFonts w:ascii="Bookman Old Style" w:eastAsia="Times New Roman" w:hAnsi="Bookman Old Style" w:cs="Arial"/>
                <w:b/>
                <w:i/>
                <w:iCs/>
                <w:lang w:eastAsia="it-IT"/>
              </w:rPr>
              <w:t>ote tributarie per l'anno 2017</w:t>
            </w:r>
          </w:p>
        </w:tc>
      </w:tr>
      <w:tr w:rsidR="00F07B8A" w:rsidTr="00481472">
        <w:trPr>
          <w:gridAfter w:val="1"/>
          <w:wAfter w:w="150" w:type="dxa"/>
        </w:trPr>
        <w:tc>
          <w:tcPr>
            <w:tcW w:w="7155" w:type="dxa"/>
            <w:gridSpan w:val="2"/>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42</w:t>
            </w:r>
            <w:r w:rsidRPr="00E847D3">
              <w:rPr>
                <w:rFonts w:ascii="Bookman Old Style" w:eastAsia="Times New Roman" w:hAnsi="Bookman Old Style" w:cs="Arial"/>
                <w:lang w:eastAsia="it-IT"/>
              </w:rPr>
              <w:t>. All'</w:t>
            </w:r>
            <w:hyperlink r:id="rId10" w:anchor="art1" w:tgtFrame="rifNormativi" w:history="1">
              <w:r w:rsidRPr="00CF63B8">
                <w:rPr>
                  <w:rFonts w:ascii="Bookman Old Style" w:eastAsia="Times New Roman" w:hAnsi="Bookman Old Style" w:cs="Arial"/>
                  <w:lang w:eastAsia="it-IT"/>
                </w:rPr>
                <w:t>articolo 1 della legge 28 dicembre 2015, n. 208</w:t>
              </w:r>
            </w:hyperlink>
            <w:r w:rsidRPr="00E847D3">
              <w:rPr>
                <w:rFonts w:ascii="Bookman Old Style" w:eastAsia="Times New Roman" w:hAnsi="Bookman Old Style" w:cs="Arial"/>
                <w:lang w:eastAsia="it-IT"/>
              </w:rPr>
              <w:t>, sono apportate le seguenti modificazioni:</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comma 26, le parole: «per l'anno 2016» sono sostituite dalle seguenti: «per gli anni 2016 e 2017»;</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E847D3"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comma 28, è aggiunto, in fine, il seguente periodo: «Per l'anno 2017, i comuni che hanno deliberato ai sensi del periodo precedente possono continuare a mantenere con espressa deliberazione del consiglio comunale la stessa maggiorazione confermata per l'anno 2016».</w:t>
            </w:r>
          </w:p>
        </w:tc>
        <w:tc>
          <w:tcPr>
            <w:tcW w:w="7122" w:type="dxa"/>
            <w:gridSpan w:val="2"/>
          </w:tcPr>
          <w:p w:rsidR="00F07B8A" w:rsidRPr="000778A2" w:rsidRDefault="00F07B8A" w:rsidP="00F07B8A">
            <w:pPr>
              <w:jc w:val="both"/>
              <w:rPr>
                <w:rFonts w:ascii="Bookman Old Style" w:hAnsi="Bookman Old Style"/>
                <w:i/>
              </w:rPr>
            </w:pPr>
            <w:r>
              <w:rPr>
                <w:rFonts w:ascii="Bookman Old Style" w:hAnsi="Bookman Old Style"/>
                <w:i/>
              </w:rPr>
              <w:t xml:space="preserve">Il </w:t>
            </w:r>
            <w:r w:rsidRPr="000778A2">
              <w:rPr>
                <w:rFonts w:ascii="Bookman Old Style" w:hAnsi="Bookman Old Style"/>
                <w:b/>
                <w:i/>
              </w:rPr>
              <w:t>comma 42</w:t>
            </w:r>
            <w:r>
              <w:rPr>
                <w:rFonts w:ascii="Bookman Old Style" w:hAnsi="Bookman Old Style"/>
                <w:b/>
                <w:i/>
              </w:rPr>
              <w:t xml:space="preserve">, </w:t>
            </w:r>
            <w:r w:rsidRPr="008D0E92">
              <w:rPr>
                <w:rFonts w:ascii="Bookman Old Style" w:hAnsi="Bookman Old Style"/>
                <w:i/>
              </w:rPr>
              <w:t>attraverso la</w:t>
            </w:r>
            <w:r>
              <w:rPr>
                <w:rFonts w:ascii="Bookman Old Style" w:hAnsi="Bookman Old Style"/>
                <w:b/>
                <w:i/>
              </w:rPr>
              <w:t xml:space="preserve"> </w:t>
            </w:r>
            <w:r w:rsidRPr="000778A2">
              <w:rPr>
                <w:rFonts w:ascii="Bookman Old Style" w:hAnsi="Bookman Old Style"/>
                <w:i/>
              </w:rPr>
              <w:t xml:space="preserve">modifica </w:t>
            </w:r>
            <w:r>
              <w:rPr>
                <w:rFonts w:ascii="Bookman Old Style" w:hAnsi="Bookman Old Style"/>
                <w:i/>
              </w:rPr>
              <w:t xml:space="preserve">del </w:t>
            </w:r>
            <w:r w:rsidRPr="000778A2">
              <w:rPr>
                <w:rFonts w:ascii="Bookman Old Style" w:hAnsi="Bookman Old Style"/>
                <w:i/>
              </w:rPr>
              <w:t xml:space="preserve">comma 26 della legge di stabilità 2016, </w:t>
            </w:r>
            <w:r>
              <w:rPr>
                <w:rFonts w:ascii="Bookman Old Style" w:hAnsi="Bookman Old Style"/>
                <w:i/>
              </w:rPr>
              <w:t xml:space="preserve">estende </w:t>
            </w:r>
            <w:r w:rsidRPr="000778A2">
              <w:rPr>
                <w:rFonts w:ascii="Bookman Old Style" w:hAnsi="Bookman Old Style"/>
                <w:i/>
              </w:rPr>
              <w:t xml:space="preserve">al 2017 il blocco degli aumenti dei tributi e delle addizionali </w:t>
            </w:r>
            <w:r>
              <w:rPr>
                <w:rFonts w:ascii="Bookman Old Style" w:hAnsi="Bookman Old Style"/>
                <w:i/>
              </w:rPr>
              <w:t xml:space="preserve">delle </w:t>
            </w:r>
            <w:r w:rsidRPr="000778A2">
              <w:rPr>
                <w:rFonts w:ascii="Bookman Old Style" w:hAnsi="Bookman Old Style"/>
                <w:i/>
              </w:rPr>
              <w:t>regioni e</w:t>
            </w:r>
            <w:r>
              <w:rPr>
                <w:rFonts w:ascii="Bookman Old Style" w:hAnsi="Bookman Old Style"/>
                <w:i/>
              </w:rPr>
              <w:t xml:space="preserve"> </w:t>
            </w:r>
            <w:r w:rsidRPr="000778A2">
              <w:rPr>
                <w:rFonts w:ascii="Bookman Old Style" w:hAnsi="Bookman Old Style"/>
                <w:i/>
              </w:rPr>
              <w:t>d</w:t>
            </w:r>
            <w:r>
              <w:rPr>
                <w:rFonts w:ascii="Bookman Old Style" w:hAnsi="Bookman Old Style"/>
                <w:i/>
              </w:rPr>
              <w:t>e</w:t>
            </w:r>
            <w:r w:rsidRPr="000778A2">
              <w:rPr>
                <w:rFonts w:ascii="Bookman Old Style" w:hAnsi="Bookman Old Style"/>
                <w:i/>
              </w:rPr>
              <w:t xml:space="preserve">gli enti locali. Come per il 2016, restano escluse dal blocco alcune fattispecie esplicitamente previste: la tassa sui rifiuti (TARI), le variazioni disposte dagli enti che deliberano il pre-dissesto o il dissesto. Non rientrano nel divieto di aumento </w:t>
            </w:r>
            <w:r w:rsidRPr="000778A2">
              <w:rPr>
                <w:rFonts w:ascii="Bookman Old Style" w:hAnsi="Bookman Old Style"/>
                <w:i/>
                <w:color w:val="000000"/>
              </w:rPr>
              <w:t>tutte le entrate che hanno natura patrimoniale come ad esempio la tariffa puntuale sui rifiuti di cui al comma 667 della legge di stabilità 2014, il canone occupazione spazi e aree pubbliche ed il canone idrico. Invece</w:t>
            </w:r>
            <w:r>
              <w:rPr>
                <w:rFonts w:ascii="Bookman Old Style" w:hAnsi="Bookman Old Style"/>
                <w:i/>
                <w:color w:val="000000"/>
              </w:rPr>
              <w:t>,</w:t>
            </w:r>
            <w:r w:rsidRPr="000778A2">
              <w:rPr>
                <w:rFonts w:ascii="Bookman Old Style" w:hAnsi="Bookman Old Style"/>
                <w:i/>
                <w:color w:val="000000"/>
              </w:rPr>
              <w:t xml:space="preserve"> il canone per l’autorizzazione all’installazione dei mezzi pubblicitari (Cimp), se pure alternativo all’imposta comunale sulla pubblicità e diritti sulle pubbliche affissioni, ha natura tributaria (</w:t>
            </w:r>
            <w:r>
              <w:rPr>
                <w:rFonts w:ascii="Bookman Old Style" w:hAnsi="Bookman Old Style"/>
                <w:i/>
                <w:color w:val="000000"/>
              </w:rPr>
              <w:t>CCost</w:t>
            </w:r>
            <w:r w:rsidRPr="000778A2">
              <w:rPr>
                <w:rFonts w:ascii="Bookman Old Style" w:hAnsi="Bookman Old Style"/>
                <w:i/>
                <w:color w:val="000000"/>
              </w:rPr>
              <w:t>, sent. n.</w:t>
            </w:r>
            <w:bookmarkStart w:id="0" w:name="_GoBack"/>
            <w:r w:rsidRPr="000778A2">
              <w:rPr>
                <w:rFonts w:ascii="Bookman Old Style" w:hAnsi="Bookman Old Style"/>
                <w:i/>
                <w:color w:val="000000"/>
              </w:rPr>
              <w:t>141</w:t>
            </w:r>
            <w:bookmarkEnd w:id="0"/>
            <w:r w:rsidRPr="000778A2">
              <w:rPr>
                <w:rFonts w:ascii="Bookman Old Style" w:hAnsi="Bookman Old Style"/>
                <w:i/>
                <w:color w:val="000000"/>
              </w:rPr>
              <w:t>/2009) e quindi rientra nel blocco.</w:t>
            </w:r>
            <w:r w:rsidRPr="000778A2">
              <w:rPr>
                <w:rFonts w:ascii="Bookman Old Style" w:hAnsi="Bookman Old Style"/>
                <w:i/>
              </w:rPr>
              <w:t xml:space="preserve"> </w:t>
            </w:r>
          </w:p>
          <w:p w:rsidR="00F07B8A" w:rsidRDefault="00F07B8A" w:rsidP="00F07B8A">
            <w:pPr>
              <w:jc w:val="both"/>
              <w:rPr>
                <w:rFonts w:ascii="Bookman Old Style" w:hAnsi="Bookman Old Style"/>
                <w:i/>
              </w:rPr>
            </w:pPr>
            <w:r w:rsidRPr="000778A2">
              <w:rPr>
                <w:rFonts w:ascii="Bookman Old Style" w:hAnsi="Bookman Old Style"/>
                <w:i/>
              </w:rPr>
              <w:t xml:space="preserve">Inoltre, come chiarito </w:t>
            </w:r>
            <w:r w:rsidRPr="000778A2">
              <w:rPr>
                <w:rFonts w:ascii="Bookman Old Style" w:hAnsi="Bookman Old Style"/>
                <w:i/>
                <w:color w:val="000000"/>
              </w:rPr>
              <w:t xml:space="preserve">anche da diversi pronunciamenti in sede consultiva delle sezioni regionali della Corte dei Conti, la disposizione di cui al comma 26 deve essere letta nel senso che il blocco si applica a tutte le forme di variazione in aumento dei </w:t>
            </w:r>
            <w:r w:rsidRPr="000778A2">
              <w:rPr>
                <w:rFonts w:ascii="Bookman Old Style" w:hAnsi="Bookman Old Style"/>
                <w:i/>
                <w:color w:val="000000"/>
              </w:rPr>
              <w:lastRenderedPageBreak/>
              <w:t>tributi a livello locale, sia che le stesse si configurino come incremento di aliquote di tributi già esistenti nel 2015</w:t>
            </w:r>
            <w:r>
              <w:rPr>
                <w:rFonts w:ascii="Bookman Old Style" w:hAnsi="Bookman Old Style"/>
                <w:i/>
                <w:color w:val="000000"/>
              </w:rPr>
              <w:t xml:space="preserve"> o abolizione di regimi agevolativi</w:t>
            </w:r>
            <w:r w:rsidRPr="000778A2">
              <w:rPr>
                <w:rFonts w:ascii="Bookman Old Style" w:hAnsi="Bookman Old Style"/>
                <w:i/>
                <w:color w:val="000000"/>
              </w:rPr>
              <w:t>, sia che consistano nell’istituzione di nuov</w:t>
            </w:r>
            <w:r>
              <w:rPr>
                <w:rFonts w:ascii="Bookman Old Style" w:hAnsi="Bookman Old Style"/>
                <w:i/>
                <w:color w:val="000000"/>
              </w:rPr>
              <w:t>i prelievi tributari</w:t>
            </w:r>
            <w:r w:rsidRPr="000778A2">
              <w:rPr>
                <w:rFonts w:ascii="Bookman Old Style" w:hAnsi="Bookman Old Style"/>
                <w:i/>
                <w:color w:val="000000"/>
              </w:rPr>
              <w:t>.</w:t>
            </w:r>
            <w:r w:rsidRPr="000778A2">
              <w:rPr>
                <w:rFonts w:ascii="Bookman Old Style" w:hAnsi="Bookman Old Style"/>
                <w:i/>
              </w:rPr>
              <w:t xml:space="preserve"> </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Con la lettera b) si prevede che i Comuni che hanno optato nel 2016 per il mantenimento della maggiorazione TASI nella misura applicata per l'anno 2015 (come prescritto dal predetto comma 28) possano continuare a farlo anche nel 2017, sempre previa espressa deliberazione del consiglio comunale. </w:t>
            </w:r>
          </w:p>
          <w:p w:rsidR="00F07B8A" w:rsidRPr="000778A2" w:rsidRDefault="00F07B8A" w:rsidP="00F07B8A">
            <w:pPr>
              <w:jc w:val="both"/>
              <w:rPr>
                <w:rFonts w:ascii="Bookman Old Style" w:hAnsi="Bookman Old Style"/>
                <w:i/>
              </w:rPr>
            </w:pPr>
            <w:r w:rsidRPr="000778A2">
              <w:rPr>
                <w:rFonts w:ascii="Bookman Old Style" w:hAnsi="Bookman Old Style"/>
                <w:i/>
                <w:color w:val="000000"/>
              </w:rPr>
              <w:t xml:space="preserve">Va ricordato che la conferma di questo prelievo, istituito temporaneamente dal 2014, </w:t>
            </w:r>
            <w:r w:rsidRPr="000778A2">
              <w:rPr>
                <w:rFonts w:ascii="Bookman Old Style" w:eastAsia="Times New Roman" w:hAnsi="Bookman Old Style" w:cs="Arial"/>
                <w:i/>
                <w:iCs/>
                <w:color w:val="000000"/>
                <w:lang w:eastAsia="it-IT"/>
              </w:rPr>
              <w:t xml:space="preserve">consente ad un gran numero di Comuni il mantenimento dei livelli di gettito preesistenti all’istituzione della Tasi. </w:t>
            </w:r>
            <w:r w:rsidRPr="000778A2">
              <w:rPr>
                <w:rFonts w:ascii="Bookman Old Style" w:hAnsi="Bookman Old Style"/>
                <w:i/>
                <w:color w:val="000000"/>
              </w:rPr>
              <w:t xml:space="preserve"> </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Il blocco delle aliquote dei tributi viene, quindi, reiterato anche per il 2017. A fronte di questa scelta politica, l’Anci ha comunque ritenuto di avanzare alcune proposte emendative volte a realizzare uno sblocco selettivo di alcuni tributi, tra i quali l’imposta e il canone comunale sulla pubblicità, la Tosap, l’imposta di soggiorno ed il contributo di sbarco dei comuni delle isole minori.</w:t>
            </w:r>
          </w:p>
          <w:p w:rsidR="00F07B8A" w:rsidRPr="000778A2" w:rsidRDefault="00F07B8A" w:rsidP="005E1323">
            <w:pPr>
              <w:jc w:val="both"/>
              <w:rPr>
                <w:rFonts w:ascii="Bookman Old Style" w:hAnsi="Bookman Old Style"/>
                <w:i/>
                <w:color w:val="000000"/>
              </w:rPr>
            </w:pPr>
            <w:r w:rsidRPr="000778A2">
              <w:rPr>
                <w:rFonts w:ascii="Bookman Old Style" w:hAnsi="Bookman Old Style"/>
                <w:i/>
                <w:color w:val="000000"/>
              </w:rPr>
              <w:t xml:space="preserve">Inoltre è stata evidenziata la situazione di evidente difficoltà dei circa 650 Comuni che nel 2015 avevano deliberato in materia di tributi oltre il termine del 31 luglio e ora si troverebbero ad applicare la stessa disciplina del 2014. </w:t>
            </w:r>
            <w:r>
              <w:rPr>
                <w:rFonts w:ascii="Bookman Old Style" w:hAnsi="Bookman Old Style"/>
                <w:i/>
                <w:color w:val="000000"/>
              </w:rPr>
              <w:t>Per questi casi è stata richiesta la possibilità di ripresentare le delibere a suo tempo approvate oltre i termini.</w:t>
            </w:r>
          </w:p>
        </w:tc>
      </w:tr>
      <w:tr w:rsidR="00F07B8A" w:rsidTr="00481472">
        <w:trPr>
          <w:gridAfter w:val="1"/>
          <w:wAfter w:w="150" w:type="dxa"/>
        </w:trPr>
        <w:tc>
          <w:tcPr>
            <w:tcW w:w="7155" w:type="dxa"/>
            <w:gridSpan w:val="2"/>
          </w:tcPr>
          <w:p w:rsidR="00F07B8A" w:rsidRPr="00B22AA6" w:rsidRDefault="00F07B8A" w:rsidP="00F07B8A">
            <w:pPr>
              <w:shd w:val="clear" w:color="auto" w:fill="FFFFFF"/>
              <w:jc w:val="both"/>
              <w:rPr>
                <w:rFonts w:ascii="Bookman Old Style" w:eastAsia="Times New Roman" w:hAnsi="Bookman Old Style" w:cs="Arial"/>
                <w:b/>
                <w:lang w:eastAsia="it-IT"/>
              </w:rPr>
            </w:pPr>
            <w:r w:rsidRPr="00B22AA6">
              <w:rPr>
                <w:rFonts w:ascii="Bookman Old Style" w:eastAsia="Times New Roman" w:hAnsi="Bookman Old Style" w:cs="Arial"/>
                <w:b/>
                <w:lang w:eastAsia="it-IT"/>
              </w:rPr>
              <w:lastRenderedPageBreak/>
              <w:t>43. All’artico</w:t>
            </w:r>
            <w:r>
              <w:rPr>
                <w:rFonts w:ascii="Bookman Old Style" w:eastAsia="Times New Roman" w:hAnsi="Bookman Old Style" w:cs="Arial"/>
                <w:b/>
                <w:lang w:eastAsia="it-IT"/>
              </w:rPr>
              <w:t xml:space="preserve">lo 2, comma 3-bis, del decreto - </w:t>
            </w:r>
            <w:r w:rsidRPr="00B22AA6">
              <w:rPr>
                <w:rFonts w:ascii="Bookman Old Style" w:eastAsia="Times New Roman" w:hAnsi="Bookman Old Style" w:cs="Arial"/>
                <w:b/>
                <w:lang w:eastAsia="it-IT"/>
              </w:rPr>
              <w:t>legge 28 gennaio 2014, n. 4, convertito, co</w:t>
            </w:r>
            <w:r>
              <w:rPr>
                <w:rFonts w:ascii="Bookman Old Style" w:eastAsia="Times New Roman" w:hAnsi="Bookman Old Style" w:cs="Arial"/>
                <w:b/>
                <w:lang w:eastAsia="it-IT"/>
              </w:rPr>
              <w:t>n modificazioni, dalla legge 28 marzo 2014, n. 50, le parole: «31 dicembre2016</w:t>
            </w:r>
            <w:r w:rsidRPr="00B22AA6">
              <w:rPr>
                <w:rFonts w:ascii="Bookman Old Style" w:eastAsia="Times New Roman" w:hAnsi="Bookman Old Style" w:cs="Arial"/>
                <w:b/>
                <w:lang w:eastAsia="it-IT"/>
              </w:rPr>
              <w:t>» so</w:t>
            </w:r>
            <w:r>
              <w:rPr>
                <w:rFonts w:ascii="Bookman Old Style" w:eastAsia="Times New Roman" w:hAnsi="Bookman Old Style" w:cs="Arial"/>
                <w:b/>
                <w:lang w:eastAsia="it-IT"/>
              </w:rPr>
              <w:t>no sostituite dalle seguenti: «</w:t>
            </w:r>
            <w:r w:rsidRPr="00B22AA6">
              <w:rPr>
                <w:rFonts w:ascii="Bookman Old Style" w:eastAsia="Times New Roman" w:hAnsi="Bookman Old Style" w:cs="Arial"/>
                <w:b/>
                <w:lang w:eastAsia="it-IT"/>
              </w:rPr>
              <w:t>31</w:t>
            </w:r>
            <w:r>
              <w:rPr>
                <w:rFonts w:ascii="Bookman Old Style" w:eastAsia="Times New Roman" w:hAnsi="Bookman Old Style" w:cs="Arial"/>
                <w:b/>
                <w:lang w:eastAsia="it-IT"/>
              </w:rPr>
              <w:t xml:space="preserve"> </w:t>
            </w:r>
            <w:r w:rsidRPr="00B22AA6">
              <w:rPr>
                <w:rFonts w:ascii="Bookman Old Style" w:eastAsia="Times New Roman" w:hAnsi="Bookman Old Style" w:cs="Arial"/>
                <w:b/>
                <w:lang w:eastAsia="it-IT"/>
              </w:rPr>
              <w:t>dicembre 2017».</w:t>
            </w:r>
          </w:p>
        </w:tc>
        <w:tc>
          <w:tcPr>
            <w:tcW w:w="7122" w:type="dxa"/>
            <w:gridSpan w:val="2"/>
          </w:tcPr>
          <w:p w:rsidR="00F07B8A" w:rsidRPr="00D9463E" w:rsidRDefault="00F07B8A" w:rsidP="00F07B8A">
            <w:pPr>
              <w:jc w:val="both"/>
              <w:rPr>
                <w:rFonts w:ascii="Bookman Old Style" w:hAnsi="Bookman Old Style"/>
              </w:rPr>
            </w:pPr>
            <w:r w:rsidRPr="00C25018">
              <w:rPr>
                <w:rFonts w:ascii="Bookman Old Style" w:hAnsi="Bookman Old Style"/>
                <w:i/>
              </w:rPr>
              <w:t xml:space="preserve">Il comma 43 proroga di un anno – dal 31 dicembre 2016 </w:t>
            </w:r>
            <w:r w:rsidRPr="00C25018">
              <w:rPr>
                <w:rFonts w:ascii="Bookman Old Style" w:hAnsi="Bookman Old Style"/>
                <w:b/>
                <w:bCs/>
                <w:i/>
              </w:rPr>
              <w:t xml:space="preserve">al 31 dicembre 2017 </w:t>
            </w:r>
            <w:r w:rsidRPr="00C25018">
              <w:rPr>
                <w:rFonts w:ascii="Bookman Old Style" w:hAnsi="Bookman Old Style"/>
                <w:i/>
              </w:rPr>
              <w:t xml:space="preserve">– l’innalzamento </w:t>
            </w:r>
            <w:r w:rsidRPr="00C25018">
              <w:rPr>
                <w:rFonts w:ascii="Bookman Old Style" w:hAnsi="Bookman Old Style"/>
                <w:b/>
                <w:bCs/>
                <w:i/>
              </w:rPr>
              <w:t xml:space="preserve">da tre a cinque dodicesimi </w:t>
            </w:r>
            <w:r w:rsidRPr="00C25018">
              <w:rPr>
                <w:rFonts w:ascii="Bookman Old Style" w:hAnsi="Bookman Old Style"/>
                <w:i/>
              </w:rPr>
              <w:t xml:space="preserve">del limite massimo di ricorso degli enti locali ad </w:t>
            </w:r>
            <w:r w:rsidRPr="00C25018">
              <w:rPr>
                <w:rFonts w:ascii="Bookman Old Style" w:hAnsi="Bookman Old Style"/>
                <w:b/>
                <w:bCs/>
                <w:i/>
              </w:rPr>
              <w:t xml:space="preserve">anticipazioni di tesoreria, </w:t>
            </w:r>
            <w:r w:rsidRPr="00C25018">
              <w:rPr>
                <w:rFonts w:ascii="Bookman Old Style" w:hAnsi="Bookman Old Style"/>
                <w:i/>
              </w:rPr>
              <w:t>disposto dall’articolo 2, comma 3-</w:t>
            </w:r>
            <w:r w:rsidRPr="00C25018">
              <w:rPr>
                <w:rFonts w:ascii="Bookman Old Style" w:hAnsi="Bookman Old Style"/>
                <w:i/>
                <w:iCs/>
              </w:rPr>
              <w:t>bis</w:t>
            </w:r>
            <w:r w:rsidRPr="00C25018">
              <w:rPr>
                <w:rFonts w:ascii="Bookman Old Style" w:hAnsi="Bookman Old Style"/>
                <w:i/>
              </w:rPr>
              <w:t>, del decreto-legge n. 4/2014, concesso al fine di agevolare il rispetto da parte degli enti locali stessi dei tempi di pagamento nelle transazioni commerciali.</w:t>
            </w:r>
            <w:r w:rsidRPr="00D9463E">
              <w:rPr>
                <w:rFonts w:ascii="Bookman Old Style" w:hAnsi="Bookman Old Style"/>
                <w:i/>
              </w:rPr>
              <w:t xml:space="preserve"> </w:t>
            </w:r>
          </w:p>
        </w:tc>
      </w:tr>
      <w:tr w:rsidR="007E364B" w:rsidTr="00190A11">
        <w:trPr>
          <w:gridAfter w:val="1"/>
          <w:wAfter w:w="150" w:type="dxa"/>
        </w:trPr>
        <w:tc>
          <w:tcPr>
            <w:tcW w:w="14277" w:type="dxa"/>
            <w:gridSpan w:val="4"/>
          </w:tcPr>
          <w:p w:rsidR="005E1323" w:rsidRDefault="005E1323" w:rsidP="00190A11">
            <w:pPr>
              <w:jc w:val="center"/>
              <w:rPr>
                <w:rFonts w:ascii="Bookman Old Style" w:hAnsi="Bookman Old Style"/>
                <w:b/>
                <w:bCs/>
                <w:i/>
                <w:color w:val="000000"/>
              </w:rPr>
            </w:pPr>
          </w:p>
          <w:p w:rsidR="007E364B" w:rsidRPr="000778A2" w:rsidRDefault="003743D6" w:rsidP="00190A11">
            <w:pPr>
              <w:jc w:val="center"/>
              <w:rPr>
                <w:rFonts w:ascii="Bookman Old Style" w:hAnsi="Bookman Old Style"/>
                <w:b/>
                <w:bCs/>
                <w:i/>
                <w:color w:val="000000"/>
              </w:rPr>
            </w:pPr>
            <w:r>
              <w:rPr>
                <w:rFonts w:ascii="Bookman Old Style" w:hAnsi="Bookman Old Style"/>
                <w:b/>
                <w:bCs/>
                <w:i/>
                <w:color w:val="000000"/>
              </w:rPr>
              <w:t>Strutture scolastiche</w:t>
            </w:r>
          </w:p>
        </w:tc>
      </w:tr>
      <w:tr w:rsidR="007E364B" w:rsidRPr="00843848" w:rsidTr="00481472">
        <w:trPr>
          <w:gridAfter w:val="1"/>
          <w:wAfter w:w="150" w:type="dxa"/>
        </w:trPr>
        <w:tc>
          <w:tcPr>
            <w:tcW w:w="7155" w:type="dxa"/>
            <w:gridSpan w:val="2"/>
          </w:tcPr>
          <w:p w:rsidR="007E364B" w:rsidRPr="00A829BD" w:rsidRDefault="00843848" w:rsidP="00A829BD">
            <w:pPr>
              <w:shd w:val="clear" w:color="auto" w:fill="FFFFFF"/>
              <w:jc w:val="both"/>
              <w:rPr>
                <w:rFonts w:ascii="Bookman Old Style" w:eastAsia="Times New Roman" w:hAnsi="Bookman Old Style" w:cs="Arial"/>
                <w:b/>
                <w:lang w:eastAsia="it-IT"/>
              </w:rPr>
            </w:pPr>
            <w:r w:rsidRPr="00A829BD">
              <w:rPr>
                <w:rFonts w:ascii="Bookman Old Style" w:hAnsi="Bookman Old Style"/>
                <w:b/>
                <w:color w:val="231F20"/>
              </w:rPr>
              <w:t xml:space="preserve">85. L’INAIL, nell’ambito degli investimenti immobiliari </w:t>
            </w:r>
            <w:r w:rsidRPr="00A829BD">
              <w:rPr>
                <w:rFonts w:ascii="Bookman Old Style" w:hAnsi="Bookman Old Style"/>
                <w:b/>
                <w:color w:val="231F20"/>
              </w:rPr>
              <w:lastRenderedPageBreak/>
              <w:t>previsti dal piano di impiego dei fondi disponibili di cui all’articolo</w:t>
            </w:r>
            <w:r w:rsidR="00A829BD">
              <w:rPr>
                <w:rFonts w:ascii="Bookman Old Style" w:hAnsi="Bookman Old Style"/>
                <w:b/>
                <w:color w:val="231F20"/>
              </w:rPr>
              <w:t xml:space="preserve"> </w:t>
            </w:r>
            <w:r w:rsidRPr="00A829BD">
              <w:rPr>
                <w:rFonts w:ascii="Bookman Old Style" w:hAnsi="Bookman Old Style"/>
                <w:b/>
                <w:color w:val="231F20"/>
              </w:rPr>
              <w:t xml:space="preserve">65 della legge 30 aprile 1969, n. 153, destina 100 milioni di euro per la realizzazione di nuove strutture scolastiche. Le regioni dichiarano la propria disponibilità ad aderire all’operazione per la costruzione di nuove strutture scolastiche, facendosi carico del canone di locazione, comunicandola formalmente alla Presidenza del Consiglio dei ministri – Struttura di missione per il coordinamento e impulso nell’attuazione di interventi di riqualificazione dell’edilizia scolastica, entro il termine perentorio del 20 gennaio 2017, secondo modalità individuate e pubblicate nel sito </w:t>
            </w:r>
            <w:r w:rsidRPr="00A829BD">
              <w:rPr>
                <w:rFonts w:ascii="Bookman Old Style" w:hAnsi="Bookman Old Style"/>
                <w:b/>
                <w:i/>
                <w:iCs/>
                <w:color w:val="231F20"/>
              </w:rPr>
              <w:t xml:space="preserve">internet </w:t>
            </w:r>
            <w:r w:rsidRPr="00A829BD">
              <w:rPr>
                <w:rFonts w:ascii="Bookman Old Style" w:hAnsi="Bookman Old Style"/>
                <w:b/>
                <w:color w:val="231F20"/>
              </w:rPr>
              <w:t>istituzionale della medesima Struttura. Successivamente alla ricezione delle dichiarazioni di disponibilità delle regioni, con decreto del Presidente del Consiglio dei ministri, di concerto con il Ministro del lavoro e delle politiche sociali, con il Ministro dell’istruzione, dell’università e della ricerca e con il Ministro dell’economia e delle finanze, sono individuate le regioni ammesse alla ripartizione, sono assegnate le risorse disponibili e sono stabiliti i criteri di selezione dei progetti.</w:t>
            </w:r>
          </w:p>
        </w:tc>
        <w:tc>
          <w:tcPr>
            <w:tcW w:w="7122" w:type="dxa"/>
            <w:gridSpan w:val="2"/>
          </w:tcPr>
          <w:p w:rsidR="007E364B" w:rsidRPr="00843848" w:rsidRDefault="00A829BD" w:rsidP="007E364B">
            <w:pPr>
              <w:jc w:val="both"/>
              <w:rPr>
                <w:rFonts w:ascii="Bookman Old Style" w:hAnsi="Bookman Old Style"/>
                <w:b/>
                <w:i/>
                <w:color w:val="000000"/>
              </w:rPr>
            </w:pPr>
            <w:r>
              <w:rPr>
                <w:rFonts w:ascii="Bookman Old Style" w:hAnsi="Bookman Old Style"/>
                <w:i/>
                <w:color w:val="000000"/>
              </w:rPr>
              <w:lastRenderedPageBreak/>
              <w:t>Il comma, introdotto dalla Camera, p</w:t>
            </w:r>
            <w:r w:rsidR="007E364B" w:rsidRPr="00843848">
              <w:rPr>
                <w:rFonts w:ascii="Bookman Old Style" w:hAnsi="Bookman Old Style"/>
                <w:i/>
                <w:color w:val="000000"/>
              </w:rPr>
              <w:t xml:space="preserve">revede la destinazione di </w:t>
            </w:r>
            <w:r w:rsidR="007E364B" w:rsidRPr="00843848">
              <w:rPr>
                <w:rFonts w:ascii="Bookman Old Style" w:hAnsi="Bookman Old Style"/>
                <w:i/>
                <w:color w:val="000000"/>
              </w:rPr>
              <w:lastRenderedPageBreak/>
              <w:t>100 milioni, nell’ambito del Piano di investimenti immobiliari dell’INAIL, per la realizzazione di nuove strutture scolastiche. Le Regioni dichiarano la propria disponibilità ad aderire all’operazione entro il 20 gennaio 2017, facendosi carico dei canoni di locazione. Con DPCM sono individuate le regioni ammesse alla ripartizione delle risorse e definiti i criteri di selezione dei progetti.</w:t>
            </w:r>
          </w:p>
          <w:p w:rsidR="007E364B" w:rsidRPr="00843848" w:rsidRDefault="007E364B" w:rsidP="00F07B8A">
            <w:pPr>
              <w:jc w:val="both"/>
              <w:rPr>
                <w:rFonts w:ascii="Bookman Old Style" w:hAnsi="Bookman Old Style"/>
                <w:i/>
              </w:rPr>
            </w:pPr>
          </w:p>
        </w:tc>
      </w:tr>
      <w:tr w:rsidR="00E940F0" w:rsidRPr="00E940F0" w:rsidTr="00177D83">
        <w:trPr>
          <w:gridAfter w:val="1"/>
          <w:wAfter w:w="150" w:type="dxa"/>
        </w:trPr>
        <w:tc>
          <w:tcPr>
            <w:tcW w:w="14277" w:type="dxa"/>
            <w:gridSpan w:val="4"/>
          </w:tcPr>
          <w:p w:rsidR="005E1323" w:rsidRDefault="005E1323" w:rsidP="00E940F0">
            <w:pPr>
              <w:jc w:val="center"/>
              <w:rPr>
                <w:rFonts w:ascii="Bookman Old Style" w:hAnsi="Bookman Old Style"/>
                <w:b/>
                <w:i/>
                <w:color w:val="000000"/>
              </w:rPr>
            </w:pPr>
          </w:p>
          <w:p w:rsidR="00E940F0" w:rsidRPr="00E940F0" w:rsidRDefault="00E940F0" w:rsidP="00E940F0">
            <w:pPr>
              <w:jc w:val="center"/>
              <w:rPr>
                <w:rFonts w:ascii="Bookman Old Style" w:hAnsi="Bookman Old Style"/>
                <w:b/>
                <w:i/>
                <w:color w:val="000000"/>
              </w:rPr>
            </w:pPr>
            <w:r w:rsidRPr="00E940F0">
              <w:rPr>
                <w:rFonts w:ascii="Bookman Old Style" w:hAnsi="Bookman Old Style"/>
                <w:b/>
                <w:i/>
                <w:color w:val="000000"/>
              </w:rPr>
              <w:t xml:space="preserve">Norme per </w:t>
            </w:r>
            <w:r w:rsidR="008B5E19">
              <w:rPr>
                <w:rFonts w:ascii="Bookman Old Style" w:hAnsi="Bookman Old Style"/>
                <w:b/>
                <w:i/>
                <w:color w:val="000000"/>
              </w:rPr>
              <w:t xml:space="preserve">finanziamento </w:t>
            </w:r>
            <w:r w:rsidRPr="00E940F0">
              <w:rPr>
                <w:rFonts w:ascii="Bookman Old Style" w:hAnsi="Bookman Old Style"/>
                <w:b/>
                <w:i/>
                <w:color w:val="000000"/>
              </w:rPr>
              <w:t>investimenti</w:t>
            </w:r>
          </w:p>
        </w:tc>
      </w:tr>
      <w:tr w:rsidR="00E940F0" w:rsidRPr="00E940F0" w:rsidTr="00481472">
        <w:trPr>
          <w:gridAfter w:val="1"/>
          <w:wAfter w:w="150" w:type="dxa"/>
        </w:trPr>
        <w:tc>
          <w:tcPr>
            <w:tcW w:w="7155" w:type="dxa"/>
            <w:gridSpan w:val="2"/>
          </w:tcPr>
          <w:p w:rsidR="00E940F0" w:rsidRPr="00E940F0" w:rsidRDefault="00E940F0" w:rsidP="00E940F0">
            <w:pPr>
              <w:autoSpaceDE w:val="0"/>
              <w:autoSpaceDN w:val="0"/>
              <w:adjustRightInd w:val="0"/>
              <w:jc w:val="both"/>
              <w:rPr>
                <w:rFonts w:ascii="Bookman Old Style" w:hAnsi="Bookman Old Style" w:cs="TimesLTStd-Roman"/>
              </w:rPr>
            </w:pPr>
            <w:r w:rsidRPr="00E940F0">
              <w:rPr>
                <w:rFonts w:ascii="Bookman Old Style" w:hAnsi="Bookman Old Style" w:cs="TimesLTStd-Roman"/>
              </w:rPr>
              <w:t>140. Nello stato di previsione del Ministero</w:t>
            </w:r>
            <w:r>
              <w:rPr>
                <w:rFonts w:ascii="Bookman Old Style" w:hAnsi="Bookman Old Style" w:cs="TimesLTStd-Roman"/>
              </w:rPr>
              <w:t xml:space="preserve"> </w:t>
            </w:r>
            <w:r w:rsidRPr="00E940F0">
              <w:rPr>
                <w:rFonts w:ascii="Bookman Old Style" w:hAnsi="Bookman Old Style" w:cs="TimesLTStd-Roman"/>
              </w:rPr>
              <w:t>dell’economia e delle finanze è istituito</w:t>
            </w:r>
            <w:r>
              <w:rPr>
                <w:rFonts w:ascii="Bookman Old Style" w:hAnsi="Bookman Old Style" w:cs="TimesLTStd-Roman"/>
              </w:rPr>
              <w:t xml:space="preserve"> </w:t>
            </w:r>
            <w:r w:rsidRPr="00E940F0">
              <w:rPr>
                <w:rFonts w:ascii="Bookman Old Style" w:hAnsi="Bookman Old Style" w:cs="TimesLTStd-Roman"/>
              </w:rPr>
              <w:t>un apposito fondo da ripartire, con una dotazione</w:t>
            </w:r>
            <w:r>
              <w:rPr>
                <w:rFonts w:ascii="Bookman Old Style" w:hAnsi="Bookman Old Style" w:cs="TimesLTStd-Roman"/>
              </w:rPr>
              <w:t xml:space="preserve"> </w:t>
            </w:r>
            <w:r w:rsidRPr="00E940F0">
              <w:rPr>
                <w:rFonts w:ascii="Bookman Old Style" w:hAnsi="Bookman Old Style" w:cs="TimesLTStd-Roman"/>
              </w:rPr>
              <w:t>di 1.900 milioni di euro per l’anno</w:t>
            </w:r>
            <w:r>
              <w:rPr>
                <w:rFonts w:ascii="Bookman Old Style" w:hAnsi="Bookman Old Style" w:cs="TimesLTStd-Roman"/>
              </w:rPr>
              <w:t xml:space="preserve"> </w:t>
            </w:r>
            <w:r w:rsidRPr="00E940F0">
              <w:rPr>
                <w:rFonts w:ascii="Bookman Old Style" w:hAnsi="Bookman Old Style" w:cs="TimesLTStd-Roman"/>
              </w:rPr>
              <w:t>2017, di 3.150 milioni di euro per l’anno</w:t>
            </w:r>
            <w:r>
              <w:rPr>
                <w:rFonts w:ascii="Bookman Old Style" w:hAnsi="Bookman Old Style" w:cs="TimesLTStd-Roman"/>
              </w:rPr>
              <w:t xml:space="preserve"> </w:t>
            </w:r>
            <w:r w:rsidRPr="00E940F0">
              <w:rPr>
                <w:rFonts w:ascii="Bookman Old Style" w:hAnsi="Bookman Old Style" w:cs="TimesLTStd-Roman"/>
              </w:rPr>
              <w:t>2018, di 3.500 milioni di euro per l’anno</w:t>
            </w:r>
            <w:r>
              <w:rPr>
                <w:rFonts w:ascii="Bookman Old Style" w:hAnsi="Bookman Old Style" w:cs="TimesLTStd-Roman"/>
              </w:rPr>
              <w:t xml:space="preserve"> </w:t>
            </w:r>
            <w:r w:rsidRPr="00E940F0">
              <w:rPr>
                <w:rFonts w:ascii="Bookman Old Style" w:hAnsi="Bookman Old Style" w:cs="TimesLTStd-Roman"/>
              </w:rPr>
              <w:t>2019 e di 3.000 milioni di euro per ciascuno</w:t>
            </w:r>
            <w:r>
              <w:rPr>
                <w:rFonts w:ascii="Bookman Old Style" w:hAnsi="Bookman Old Style" w:cs="TimesLTStd-Roman"/>
              </w:rPr>
              <w:t xml:space="preserve"> </w:t>
            </w:r>
            <w:r w:rsidRPr="00E940F0">
              <w:rPr>
                <w:rFonts w:ascii="Bookman Old Style" w:hAnsi="Bookman Old Style" w:cs="TimesLTStd-Roman"/>
              </w:rPr>
              <w:t>degli anni dal 2020 al 2032, per assicurare il</w:t>
            </w:r>
            <w:r>
              <w:rPr>
                <w:rFonts w:ascii="Bookman Old Style" w:hAnsi="Bookman Old Style" w:cs="TimesLTStd-Roman"/>
              </w:rPr>
              <w:t xml:space="preserve"> </w:t>
            </w:r>
            <w:r w:rsidRPr="00E940F0">
              <w:rPr>
                <w:rFonts w:ascii="Bookman Old Style" w:hAnsi="Bookman Old Style" w:cs="TimesLTStd-Roman"/>
              </w:rPr>
              <w:t>finanziamento degli investimenti e lo sviluppo</w:t>
            </w:r>
            <w:r>
              <w:rPr>
                <w:rFonts w:ascii="Bookman Old Style" w:hAnsi="Bookman Old Style" w:cs="TimesLTStd-Roman"/>
              </w:rPr>
              <w:t xml:space="preserve"> </w:t>
            </w:r>
            <w:r w:rsidRPr="00E940F0">
              <w:rPr>
                <w:rFonts w:ascii="Bookman Old Style" w:hAnsi="Bookman Old Style" w:cs="TimesLTStd-Roman"/>
              </w:rPr>
              <w:t>infrastrutturale del Paese anche al</w:t>
            </w:r>
          </w:p>
          <w:p w:rsidR="00E940F0" w:rsidRPr="00E940F0" w:rsidRDefault="00E940F0" w:rsidP="00E940F0">
            <w:pPr>
              <w:autoSpaceDE w:val="0"/>
              <w:autoSpaceDN w:val="0"/>
              <w:adjustRightInd w:val="0"/>
              <w:jc w:val="both"/>
              <w:rPr>
                <w:rFonts w:ascii="Bookman Old Style" w:hAnsi="Bookman Old Style" w:cs="TimesLTStd-Roman"/>
              </w:rPr>
            </w:pPr>
            <w:r w:rsidRPr="00E940F0">
              <w:rPr>
                <w:rFonts w:ascii="Bookman Old Style" w:hAnsi="Bookman Old Style" w:cs="TimesLTStd-Roman"/>
              </w:rPr>
              <w:t>fine di pervenire alla soluzione delle questioni</w:t>
            </w:r>
            <w:r>
              <w:rPr>
                <w:rFonts w:ascii="Bookman Old Style" w:hAnsi="Bookman Old Style" w:cs="TimesLTStd-Roman"/>
              </w:rPr>
              <w:t xml:space="preserve"> </w:t>
            </w:r>
            <w:r w:rsidRPr="00E940F0">
              <w:rPr>
                <w:rFonts w:ascii="Bookman Old Style" w:hAnsi="Bookman Old Style" w:cs="TimesLTStd-Roman"/>
              </w:rPr>
              <w:t>oggetto di procedure di infrazione da</w:t>
            </w:r>
            <w:r>
              <w:rPr>
                <w:rFonts w:ascii="Bookman Old Style" w:hAnsi="Bookman Old Style" w:cs="TimesLTStd-Roman"/>
              </w:rPr>
              <w:t xml:space="preserve"> </w:t>
            </w:r>
            <w:r w:rsidRPr="00E940F0">
              <w:rPr>
                <w:rFonts w:ascii="Bookman Old Style" w:hAnsi="Bookman Old Style" w:cs="TimesLTStd-Roman"/>
              </w:rPr>
              <w:t>parte dell’Unione europea, nei settori di</w:t>
            </w:r>
            <w:r>
              <w:rPr>
                <w:rFonts w:ascii="Bookman Old Style" w:hAnsi="Bookman Old Style" w:cs="TimesLTStd-Roman"/>
              </w:rPr>
              <w:t xml:space="preserve"> </w:t>
            </w:r>
            <w:r w:rsidRPr="00E940F0">
              <w:rPr>
                <w:rFonts w:ascii="Bookman Old Style" w:hAnsi="Bookman Old Style" w:cs="TimesLTStd-Roman"/>
              </w:rPr>
              <w:t xml:space="preserve">spesa relativi a: </w:t>
            </w:r>
            <w:r w:rsidRPr="00E940F0">
              <w:rPr>
                <w:rFonts w:ascii="Bookman Old Style" w:hAnsi="Bookman Old Style" w:cs="TimesLTStd-Italic"/>
                <w:i/>
                <w:iCs/>
              </w:rPr>
              <w:t xml:space="preserve">a) </w:t>
            </w:r>
            <w:r w:rsidRPr="00E940F0">
              <w:rPr>
                <w:rFonts w:ascii="Bookman Old Style" w:hAnsi="Bookman Old Style" w:cs="TimesLTStd-Roman"/>
              </w:rPr>
              <w:t>trasporti, viabilità, mobilità</w:t>
            </w:r>
            <w:r>
              <w:rPr>
                <w:rFonts w:ascii="Bookman Old Style" w:hAnsi="Bookman Old Style" w:cs="TimesLTStd-Roman"/>
              </w:rPr>
              <w:t xml:space="preserve"> </w:t>
            </w:r>
            <w:r w:rsidRPr="00E940F0">
              <w:rPr>
                <w:rFonts w:ascii="Bookman Old Style" w:hAnsi="Bookman Old Style" w:cs="TimesLTStd-Roman"/>
              </w:rPr>
              <w:t>sostenibile, sicurezza stradale, riqualificazione</w:t>
            </w:r>
            <w:r>
              <w:rPr>
                <w:rFonts w:ascii="Bookman Old Style" w:hAnsi="Bookman Old Style" w:cs="TimesLTStd-Roman"/>
              </w:rPr>
              <w:t xml:space="preserve"> </w:t>
            </w:r>
            <w:r w:rsidRPr="00E940F0">
              <w:rPr>
                <w:rFonts w:ascii="Bookman Old Style" w:hAnsi="Bookman Old Style" w:cs="TimesLTStd-Roman"/>
              </w:rPr>
              <w:t>e accessibilità delle stazioni ferroviarie;</w:t>
            </w:r>
            <w:r>
              <w:rPr>
                <w:rFonts w:ascii="Bookman Old Style" w:hAnsi="Bookman Old Style" w:cs="TimesLTStd-Roman"/>
              </w:rPr>
              <w:t xml:space="preserve"> </w:t>
            </w:r>
            <w:r w:rsidRPr="00E940F0">
              <w:rPr>
                <w:rFonts w:ascii="Bookman Old Style" w:hAnsi="Bookman Old Style" w:cs="TimesLTStd-Italic"/>
                <w:i/>
                <w:iCs/>
              </w:rPr>
              <w:t xml:space="preserve">b) </w:t>
            </w:r>
            <w:r w:rsidRPr="00E940F0">
              <w:rPr>
                <w:rFonts w:ascii="Bookman Old Style" w:hAnsi="Bookman Old Style" w:cs="TimesLTStd-Roman"/>
              </w:rPr>
              <w:t>infrastrutture, anche relative alla</w:t>
            </w:r>
            <w:r>
              <w:rPr>
                <w:rFonts w:ascii="Bookman Old Style" w:hAnsi="Bookman Old Style" w:cs="TimesLTStd-Roman"/>
              </w:rPr>
              <w:t xml:space="preserve"> </w:t>
            </w:r>
            <w:r w:rsidRPr="00E940F0">
              <w:rPr>
                <w:rFonts w:ascii="Bookman Old Style" w:hAnsi="Bookman Old Style" w:cs="TimesLTStd-Roman"/>
              </w:rPr>
              <w:t xml:space="preserve">rete idrica e alle opere di </w:t>
            </w:r>
            <w:proofErr w:type="spellStart"/>
            <w:r w:rsidRPr="00E940F0">
              <w:rPr>
                <w:rFonts w:ascii="Bookman Old Style" w:hAnsi="Bookman Old Style" w:cs="TimesLTStd-Roman"/>
              </w:rPr>
              <w:t>collettamento</w:t>
            </w:r>
            <w:proofErr w:type="spellEnd"/>
            <w:r w:rsidRPr="00E940F0">
              <w:rPr>
                <w:rFonts w:ascii="Bookman Old Style" w:hAnsi="Bookman Old Style" w:cs="TimesLTStd-Roman"/>
              </w:rPr>
              <w:t>, fognatura</w:t>
            </w:r>
            <w:r>
              <w:rPr>
                <w:rFonts w:ascii="Bookman Old Style" w:hAnsi="Bookman Old Style" w:cs="TimesLTStd-Roman"/>
              </w:rPr>
              <w:t xml:space="preserve"> </w:t>
            </w:r>
            <w:r w:rsidRPr="00E940F0">
              <w:rPr>
                <w:rFonts w:ascii="Bookman Old Style" w:hAnsi="Bookman Old Style" w:cs="TimesLTStd-Roman"/>
              </w:rPr>
              <w:t xml:space="preserve">e depurazione; </w:t>
            </w:r>
            <w:r w:rsidRPr="00E940F0">
              <w:rPr>
                <w:rFonts w:ascii="Bookman Old Style" w:hAnsi="Bookman Old Style" w:cs="TimesLTStd-Italic"/>
                <w:i/>
                <w:iCs/>
              </w:rPr>
              <w:t xml:space="preserve">c) </w:t>
            </w:r>
            <w:r w:rsidRPr="00E940F0">
              <w:rPr>
                <w:rFonts w:ascii="Bookman Old Style" w:hAnsi="Bookman Old Style" w:cs="TimesLTStd-Roman"/>
              </w:rPr>
              <w:t xml:space="preserve">ricerca; </w:t>
            </w:r>
            <w:r w:rsidRPr="00E940F0">
              <w:rPr>
                <w:rFonts w:ascii="Bookman Old Style" w:hAnsi="Bookman Old Style" w:cs="TimesLTStd-Italic"/>
                <w:i/>
                <w:iCs/>
              </w:rPr>
              <w:t xml:space="preserve">d) </w:t>
            </w:r>
            <w:r w:rsidRPr="00E940F0">
              <w:rPr>
                <w:rFonts w:ascii="Bookman Old Style" w:hAnsi="Bookman Old Style" w:cs="TimesLTStd-Roman"/>
              </w:rPr>
              <w:t>difesa</w:t>
            </w:r>
            <w:r>
              <w:rPr>
                <w:rFonts w:ascii="Bookman Old Style" w:hAnsi="Bookman Old Style" w:cs="TimesLTStd-Roman"/>
              </w:rPr>
              <w:t xml:space="preserve"> </w:t>
            </w:r>
            <w:r w:rsidRPr="00E940F0">
              <w:rPr>
                <w:rFonts w:ascii="Bookman Old Style" w:hAnsi="Bookman Old Style" w:cs="TimesLTStd-Roman"/>
              </w:rPr>
              <w:t>del suolo, dissesto idrogeologico, risanamento</w:t>
            </w:r>
            <w:r>
              <w:rPr>
                <w:rFonts w:ascii="Bookman Old Style" w:hAnsi="Bookman Old Style" w:cs="TimesLTStd-Roman"/>
              </w:rPr>
              <w:t xml:space="preserve"> </w:t>
            </w:r>
            <w:r w:rsidRPr="00E940F0">
              <w:rPr>
                <w:rFonts w:ascii="Bookman Old Style" w:hAnsi="Bookman Old Style" w:cs="TimesLTStd-Roman"/>
              </w:rPr>
              <w:t xml:space="preserve">ambientale </w:t>
            </w:r>
            <w:r w:rsidRPr="00E940F0">
              <w:rPr>
                <w:rFonts w:ascii="Bookman Old Style" w:hAnsi="Bookman Old Style" w:cs="TimesLTStd-Roman"/>
              </w:rPr>
              <w:lastRenderedPageBreak/>
              <w:t xml:space="preserve">e bonifiche; </w:t>
            </w:r>
            <w:r w:rsidRPr="00E940F0">
              <w:rPr>
                <w:rFonts w:ascii="Bookman Old Style" w:hAnsi="Bookman Old Style" w:cs="TimesLTStd-Italic"/>
                <w:i/>
                <w:iCs/>
              </w:rPr>
              <w:t xml:space="preserve">e) </w:t>
            </w:r>
            <w:r w:rsidRPr="00E940F0">
              <w:rPr>
                <w:rFonts w:ascii="Bookman Old Style" w:hAnsi="Bookman Old Style" w:cs="TimesLTStd-Roman"/>
              </w:rPr>
              <w:t>edilizia</w:t>
            </w:r>
            <w:r>
              <w:rPr>
                <w:rFonts w:ascii="Bookman Old Style" w:hAnsi="Bookman Old Style" w:cs="TimesLTStd-Roman"/>
              </w:rPr>
              <w:t xml:space="preserve"> </w:t>
            </w:r>
            <w:r w:rsidRPr="00E940F0">
              <w:rPr>
                <w:rFonts w:ascii="Bookman Old Style" w:hAnsi="Bookman Old Style" w:cs="TimesLTStd-Roman"/>
              </w:rPr>
              <w:t xml:space="preserve">pubblica, compresa quella scolastica; </w:t>
            </w:r>
            <w:r w:rsidRPr="00E940F0">
              <w:rPr>
                <w:rFonts w:ascii="Bookman Old Style" w:hAnsi="Bookman Old Style" w:cs="TimesLTStd-Italic"/>
                <w:i/>
                <w:iCs/>
              </w:rPr>
              <w:t xml:space="preserve">f) </w:t>
            </w:r>
            <w:r w:rsidRPr="00E940F0">
              <w:rPr>
                <w:rFonts w:ascii="Bookman Old Style" w:hAnsi="Bookman Old Style" w:cs="TimesLTStd-Roman"/>
              </w:rPr>
              <w:t>attività</w:t>
            </w:r>
            <w:r>
              <w:rPr>
                <w:rFonts w:ascii="Bookman Old Style" w:hAnsi="Bookman Old Style" w:cs="TimesLTStd-Roman"/>
              </w:rPr>
              <w:t xml:space="preserve"> </w:t>
            </w:r>
            <w:r w:rsidRPr="00E940F0">
              <w:rPr>
                <w:rFonts w:ascii="Bookman Old Style" w:hAnsi="Bookman Old Style" w:cs="TimesLTStd-Roman"/>
              </w:rPr>
              <w:t>industriali ad alta tecnologia e sostegno</w:t>
            </w:r>
            <w:r>
              <w:rPr>
                <w:rFonts w:ascii="Bookman Old Style" w:hAnsi="Bookman Old Style" w:cs="TimesLTStd-Roman"/>
              </w:rPr>
              <w:t xml:space="preserve"> </w:t>
            </w:r>
            <w:r w:rsidRPr="00E940F0">
              <w:rPr>
                <w:rFonts w:ascii="Bookman Old Style" w:hAnsi="Bookman Old Style" w:cs="TimesLTStd-Roman"/>
              </w:rPr>
              <w:t xml:space="preserve">alle esportazioni; </w:t>
            </w:r>
            <w:r w:rsidRPr="00E940F0">
              <w:rPr>
                <w:rFonts w:ascii="Bookman Old Style" w:hAnsi="Bookman Old Style" w:cs="TimesLTStd-Italic"/>
                <w:i/>
                <w:iCs/>
              </w:rPr>
              <w:t xml:space="preserve">g) </w:t>
            </w:r>
            <w:r w:rsidRPr="00E940F0">
              <w:rPr>
                <w:rFonts w:ascii="Bookman Old Style" w:hAnsi="Bookman Old Style" w:cs="TimesLTStd-Roman"/>
              </w:rPr>
              <w:t>informatizzazione dell’amministrazione</w:t>
            </w:r>
            <w:r>
              <w:rPr>
                <w:rFonts w:ascii="Bookman Old Style" w:hAnsi="Bookman Old Style" w:cs="TimesLTStd-Roman"/>
              </w:rPr>
              <w:t xml:space="preserve"> </w:t>
            </w:r>
            <w:r w:rsidRPr="00E940F0">
              <w:rPr>
                <w:rFonts w:ascii="Bookman Old Style" w:hAnsi="Bookman Old Style" w:cs="TimesLTStd-Roman"/>
              </w:rPr>
              <w:t xml:space="preserve">giudiziaria; </w:t>
            </w:r>
            <w:r w:rsidRPr="00E940F0">
              <w:rPr>
                <w:rFonts w:ascii="Bookman Old Style" w:hAnsi="Bookman Old Style" w:cs="TimesLTStd-Italic"/>
                <w:i/>
                <w:iCs/>
              </w:rPr>
              <w:t xml:space="preserve">h) </w:t>
            </w:r>
            <w:r w:rsidRPr="00E940F0">
              <w:rPr>
                <w:rFonts w:ascii="Bookman Old Style" w:hAnsi="Bookman Old Style" w:cs="TimesLTStd-Roman"/>
              </w:rPr>
              <w:t>prevenzione</w:t>
            </w:r>
            <w:r>
              <w:rPr>
                <w:rFonts w:ascii="Bookman Old Style" w:hAnsi="Bookman Old Style" w:cs="TimesLTStd-Roman"/>
              </w:rPr>
              <w:t xml:space="preserve"> </w:t>
            </w:r>
            <w:r w:rsidRPr="00E940F0">
              <w:rPr>
                <w:rFonts w:ascii="Bookman Old Style" w:hAnsi="Bookman Old Style" w:cs="TimesLTStd-Roman"/>
              </w:rPr>
              <w:t xml:space="preserve">del rischio sismico; </w:t>
            </w:r>
            <w:r w:rsidRPr="00E940F0">
              <w:rPr>
                <w:rFonts w:ascii="Bookman Old Style" w:hAnsi="Bookman Old Style" w:cs="TimesLTStd-Italic"/>
                <w:i/>
                <w:iCs/>
              </w:rPr>
              <w:t xml:space="preserve">i) </w:t>
            </w:r>
            <w:r w:rsidRPr="00E940F0">
              <w:rPr>
                <w:rFonts w:ascii="Bookman Old Style" w:hAnsi="Bookman Old Style" w:cs="TimesLTStd-Roman"/>
              </w:rPr>
              <w:t>investimenti</w:t>
            </w:r>
          </w:p>
          <w:p w:rsidR="00E940F0" w:rsidRPr="00E940F0" w:rsidRDefault="00E940F0" w:rsidP="00E940F0">
            <w:pPr>
              <w:autoSpaceDE w:val="0"/>
              <w:autoSpaceDN w:val="0"/>
              <w:adjustRightInd w:val="0"/>
              <w:jc w:val="both"/>
              <w:rPr>
                <w:rFonts w:ascii="Bookman Old Style" w:hAnsi="Bookman Old Style" w:cs="TimesLTStd-Roman"/>
              </w:rPr>
            </w:pPr>
            <w:r w:rsidRPr="00E940F0">
              <w:rPr>
                <w:rFonts w:ascii="Bookman Old Style" w:hAnsi="Bookman Old Style" w:cs="TimesLTStd-Roman"/>
              </w:rPr>
              <w:t>per la riqualificazione urbana e per la sicurezza</w:t>
            </w:r>
            <w:r>
              <w:rPr>
                <w:rFonts w:ascii="Bookman Old Style" w:hAnsi="Bookman Old Style" w:cs="TimesLTStd-Roman"/>
              </w:rPr>
              <w:t xml:space="preserve"> </w:t>
            </w:r>
            <w:r w:rsidRPr="00E940F0">
              <w:rPr>
                <w:rFonts w:ascii="Bookman Old Style" w:hAnsi="Bookman Old Style" w:cs="TimesLTStd-Roman"/>
              </w:rPr>
              <w:t>delle periferie delle città metropolitane</w:t>
            </w:r>
            <w:r>
              <w:rPr>
                <w:rFonts w:ascii="Bookman Old Style" w:hAnsi="Bookman Old Style" w:cs="TimesLTStd-Roman"/>
              </w:rPr>
              <w:t xml:space="preserve"> </w:t>
            </w:r>
            <w:r w:rsidRPr="00E940F0">
              <w:rPr>
                <w:rFonts w:ascii="Bookman Old Style" w:hAnsi="Bookman Old Style" w:cs="TimesLTStd-Roman"/>
              </w:rPr>
              <w:t xml:space="preserve">e dei comuni capoluogo di provincia; </w:t>
            </w:r>
            <w:r w:rsidRPr="00E940F0">
              <w:rPr>
                <w:rFonts w:ascii="Bookman Old Style" w:hAnsi="Bookman Old Style" w:cs="TimesLTStd-Italic"/>
                <w:i/>
                <w:iCs/>
              </w:rPr>
              <w:t xml:space="preserve">l) </w:t>
            </w:r>
            <w:r w:rsidRPr="00E940F0">
              <w:rPr>
                <w:rFonts w:ascii="Bookman Old Style" w:hAnsi="Bookman Old Style" w:cs="TimesLTStd-Roman"/>
              </w:rPr>
              <w:t>eliminazione</w:t>
            </w:r>
            <w:r>
              <w:rPr>
                <w:rFonts w:ascii="Bookman Old Style" w:hAnsi="Bookman Old Style" w:cs="TimesLTStd-Roman"/>
              </w:rPr>
              <w:t xml:space="preserve"> </w:t>
            </w:r>
            <w:r w:rsidRPr="00E940F0">
              <w:rPr>
                <w:rFonts w:ascii="Bookman Old Style" w:hAnsi="Bookman Old Style" w:cs="TimesLTStd-Roman"/>
              </w:rPr>
              <w:t>delle barriere architettoniche.</w:t>
            </w:r>
          </w:p>
          <w:p w:rsidR="00E940F0" w:rsidRPr="00E940F0" w:rsidRDefault="00E940F0" w:rsidP="00E940F0">
            <w:pPr>
              <w:autoSpaceDE w:val="0"/>
              <w:autoSpaceDN w:val="0"/>
              <w:adjustRightInd w:val="0"/>
              <w:jc w:val="both"/>
              <w:rPr>
                <w:rFonts w:ascii="Bookman Old Style" w:hAnsi="Bookman Old Style" w:cs="TimesLTStd-Roman"/>
              </w:rPr>
            </w:pPr>
            <w:r w:rsidRPr="00E940F0">
              <w:rPr>
                <w:rFonts w:ascii="Bookman Old Style" w:hAnsi="Bookman Old Style" w:cs="TimesLTStd-Roman"/>
              </w:rPr>
              <w:t>L’utilizzo del fondo di cui al primo periodo</w:t>
            </w:r>
            <w:r>
              <w:rPr>
                <w:rFonts w:ascii="Bookman Old Style" w:hAnsi="Bookman Old Style" w:cs="TimesLTStd-Roman"/>
              </w:rPr>
              <w:t xml:space="preserve"> </w:t>
            </w:r>
            <w:r w:rsidRPr="00E940F0">
              <w:rPr>
                <w:rFonts w:ascii="Bookman Old Style" w:hAnsi="Bookman Old Style" w:cs="TimesLTStd-Roman"/>
              </w:rPr>
              <w:t>è disposto con uno o più decreti del Presidente</w:t>
            </w:r>
            <w:r>
              <w:rPr>
                <w:rFonts w:ascii="Bookman Old Style" w:hAnsi="Bookman Old Style" w:cs="TimesLTStd-Roman"/>
              </w:rPr>
              <w:t xml:space="preserve"> </w:t>
            </w:r>
            <w:r w:rsidRPr="00E940F0">
              <w:rPr>
                <w:rFonts w:ascii="Bookman Old Style" w:hAnsi="Bookman Old Style" w:cs="TimesLTStd-Roman"/>
              </w:rPr>
              <w:t>del Consiglio dei ministri, su proposta</w:t>
            </w:r>
          </w:p>
          <w:p w:rsidR="00E940F0" w:rsidRPr="00E940F0" w:rsidRDefault="00E940F0" w:rsidP="00E940F0">
            <w:pPr>
              <w:autoSpaceDE w:val="0"/>
              <w:autoSpaceDN w:val="0"/>
              <w:adjustRightInd w:val="0"/>
              <w:jc w:val="both"/>
              <w:rPr>
                <w:rFonts w:ascii="Bookman Old Style" w:hAnsi="Bookman Old Style" w:cs="TimesLTStd-Roman"/>
              </w:rPr>
            </w:pPr>
            <w:r w:rsidRPr="00E940F0">
              <w:rPr>
                <w:rFonts w:ascii="Bookman Old Style" w:hAnsi="Bookman Old Style" w:cs="TimesLTStd-Roman"/>
              </w:rPr>
              <w:t>del Ministro dell’economia e delle finanze,</w:t>
            </w:r>
            <w:r>
              <w:rPr>
                <w:rFonts w:ascii="Bookman Old Style" w:hAnsi="Bookman Old Style" w:cs="TimesLTStd-Roman"/>
              </w:rPr>
              <w:t xml:space="preserve"> </w:t>
            </w:r>
            <w:r w:rsidRPr="00E940F0">
              <w:rPr>
                <w:rFonts w:ascii="Bookman Old Style" w:hAnsi="Bookman Old Style" w:cs="TimesLTStd-Roman"/>
              </w:rPr>
              <w:t>di concerto con i Ministri interessati, in relazione</w:t>
            </w:r>
            <w:r>
              <w:rPr>
                <w:rFonts w:ascii="Bookman Old Style" w:hAnsi="Bookman Old Style" w:cs="TimesLTStd-Roman"/>
              </w:rPr>
              <w:t xml:space="preserve"> </w:t>
            </w:r>
            <w:r w:rsidRPr="00E940F0">
              <w:rPr>
                <w:rFonts w:ascii="Bookman Old Style" w:hAnsi="Bookman Old Style" w:cs="TimesLTStd-Roman"/>
              </w:rPr>
              <w:t>ai programmi presentati dalle amministrazioni</w:t>
            </w:r>
            <w:r>
              <w:rPr>
                <w:rFonts w:ascii="Bookman Old Style" w:hAnsi="Bookman Old Style" w:cs="TimesLTStd-Roman"/>
              </w:rPr>
              <w:t xml:space="preserve"> </w:t>
            </w:r>
            <w:r w:rsidRPr="00E940F0">
              <w:rPr>
                <w:rFonts w:ascii="Bookman Old Style" w:hAnsi="Bookman Old Style" w:cs="TimesLTStd-Roman"/>
              </w:rPr>
              <w:t>centrali dello Stato. Gli schemi dei</w:t>
            </w:r>
            <w:r>
              <w:rPr>
                <w:rFonts w:ascii="Bookman Old Style" w:hAnsi="Bookman Old Style" w:cs="TimesLTStd-Roman"/>
              </w:rPr>
              <w:t xml:space="preserve"> </w:t>
            </w:r>
            <w:r w:rsidRPr="00E940F0">
              <w:rPr>
                <w:rFonts w:ascii="Bookman Old Style" w:hAnsi="Bookman Old Style" w:cs="TimesLTStd-Roman"/>
              </w:rPr>
              <w:t>decreti sono trasmessi alle Commissioni parlamentari</w:t>
            </w:r>
            <w:r>
              <w:rPr>
                <w:rFonts w:ascii="Bookman Old Style" w:hAnsi="Bookman Old Style" w:cs="TimesLTStd-Roman"/>
              </w:rPr>
              <w:t xml:space="preserve"> </w:t>
            </w:r>
            <w:r w:rsidRPr="00E940F0">
              <w:rPr>
                <w:rFonts w:ascii="Bookman Old Style" w:hAnsi="Bookman Old Style" w:cs="TimesLTStd-Roman"/>
              </w:rPr>
              <w:t>competenti per materia, le quali</w:t>
            </w:r>
            <w:r>
              <w:rPr>
                <w:rFonts w:ascii="Bookman Old Style" w:hAnsi="Bookman Old Style" w:cs="TimesLTStd-Roman"/>
              </w:rPr>
              <w:t xml:space="preserve"> </w:t>
            </w:r>
            <w:r w:rsidRPr="00E940F0">
              <w:rPr>
                <w:rFonts w:ascii="Bookman Old Style" w:hAnsi="Bookman Old Style" w:cs="TimesLTStd-Roman"/>
              </w:rPr>
              <w:t>esprimono il proprio parere entro trenta</w:t>
            </w:r>
            <w:r>
              <w:rPr>
                <w:rFonts w:ascii="Bookman Old Style" w:hAnsi="Bookman Old Style" w:cs="TimesLTStd-Roman"/>
              </w:rPr>
              <w:t xml:space="preserve"> </w:t>
            </w:r>
            <w:r w:rsidRPr="00E940F0">
              <w:rPr>
                <w:rFonts w:ascii="Bookman Old Style" w:hAnsi="Bookman Old Style" w:cs="TimesLTStd-Roman"/>
              </w:rPr>
              <w:t>giorni dalla data dell’assegnazione; decorso</w:t>
            </w:r>
            <w:r>
              <w:rPr>
                <w:rFonts w:ascii="Bookman Old Style" w:hAnsi="Bookman Old Style" w:cs="TimesLTStd-Roman"/>
              </w:rPr>
              <w:t xml:space="preserve"> </w:t>
            </w:r>
            <w:r w:rsidRPr="00E940F0">
              <w:rPr>
                <w:rFonts w:ascii="Bookman Old Style" w:hAnsi="Bookman Old Style" w:cs="TimesLTStd-Roman"/>
              </w:rPr>
              <w:t>tale termine, i decreti possono essere adottati</w:t>
            </w:r>
            <w:r>
              <w:rPr>
                <w:rFonts w:ascii="Bookman Old Style" w:hAnsi="Bookman Old Style" w:cs="TimesLTStd-Roman"/>
              </w:rPr>
              <w:t xml:space="preserve"> </w:t>
            </w:r>
            <w:r w:rsidRPr="00E940F0">
              <w:rPr>
                <w:rFonts w:ascii="Bookman Old Style" w:hAnsi="Bookman Old Style" w:cs="TimesLTStd-Roman"/>
              </w:rPr>
              <w:t>anche in mancanza del predetto parere. Con</w:t>
            </w:r>
            <w:r>
              <w:rPr>
                <w:rFonts w:ascii="Bookman Old Style" w:hAnsi="Bookman Old Style" w:cs="TimesLTStd-Roman"/>
              </w:rPr>
              <w:t xml:space="preserve"> </w:t>
            </w:r>
            <w:r w:rsidRPr="00E940F0">
              <w:rPr>
                <w:rFonts w:ascii="Bookman Old Style" w:hAnsi="Bookman Old Style" w:cs="TimesLTStd-Roman"/>
              </w:rPr>
              <w:t>i medesimi decreti sono individuati gli interventi da finanziare e i relativi importi, indicando,</w:t>
            </w:r>
            <w:r>
              <w:rPr>
                <w:rFonts w:ascii="Bookman Old Style" w:hAnsi="Bookman Old Style" w:cs="TimesLTStd-Roman"/>
              </w:rPr>
              <w:t xml:space="preserve"> </w:t>
            </w:r>
            <w:r w:rsidRPr="00E940F0">
              <w:rPr>
                <w:rFonts w:ascii="Bookman Old Style" w:hAnsi="Bookman Old Style" w:cs="TimesLTStd-Roman"/>
              </w:rPr>
              <w:t>ove necessario, le modalità di utilizzo</w:t>
            </w:r>
            <w:r>
              <w:rPr>
                <w:rFonts w:ascii="Bookman Old Style" w:hAnsi="Bookman Old Style" w:cs="TimesLTStd-Roman"/>
              </w:rPr>
              <w:t xml:space="preserve"> </w:t>
            </w:r>
            <w:r w:rsidRPr="00E940F0">
              <w:rPr>
                <w:rFonts w:ascii="Bookman Old Style" w:hAnsi="Bookman Old Style" w:cs="TimesLTStd-Roman"/>
              </w:rPr>
              <w:t>dei contributi, sulla base di criteri di economicità</w:t>
            </w:r>
            <w:r>
              <w:rPr>
                <w:rFonts w:ascii="Bookman Old Style" w:hAnsi="Bookman Old Style" w:cs="TimesLTStd-Roman"/>
              </w:rPr>
              <w:t xml:space="preserve"> </w:t>
            </w:r>
            <w:r w:rsidRPr="00E940F0">
              <w:rPr>
                <w:rFonts w:ascii="Bookman Old Style" w:hAnsi="Bookman Old Style" w:cs="TimesLTStd-Roman"/>
              </w:rPr>
              <w:t>e di contenimento della spesa, anche</w:t>
            </w:r>
            <w:r>
              <w:rPr>
                <w:rFonts w:ascii="Bookman Old Style" w:hAnsi="Bookman Old Style" w:cs="TimesLTStd-Roman"/>
              </w:rPr>
              <w:t xml:space="preserve"> </w:t>
            </w:r>
            <w:r w:rsidRPr="00E940F0">
              <w:rPr>
                <w:rFonts w:ascii="Bookman Old Style" w:hAnsi="Bookman Old Style" w:cs="TimesLTStd-Roman"/>
              </w:rPr>
              <w:t>attraverso operazioni finanziarie con oneri</w:t>
            </w:r>
            <w:r>
              <w:rPr>
                <w:rFonts w:ascii="Bookman Old Style" w:hAnsi="Bookman Old Style" w:cs="TimesLTStd-Roman"/>
              </w:rPr>
              <w:t xml:space="preserve"> </w:t>
            </w:r>
            <w:r w:rsidRPr="00E940F0">
              <w:rPr>
                <w:rFonts w:ascii="Bookman Old Style" w:hAnsi="Bookman Old Style" w:cs="TimesLTStd-Roman"/>
              </w:rPr>
              <w:t>di ammortamento a carico del bilancio dello</w:t>
            </w:r>
            <w:r>
              <w:rPr>
                <w:rFonts w:ascii="Bookman Old Style" w:hAnsi="Bookman Old Style" w:cs="TimesLTStd-Roman"/>
              </w:rPr>
              <w:t xml:space="preserve"> </w:t>
            </w:r>
            <w:r w:rsidRPr="00E940F0">
              <w:rPr>
                <w:rFonts w:ascii="Bookman Old Style" w:hAnsi="Bookman Old Style" w:cs="TimesLTStd-Roman"/>
              </w:rPr>
              <w:t>Stato, con la Banca europea per gli investimenti,</w:t>
            </w:r>
          </w:p>
          <w:p w:rsidR="00E940F0" w:rsidRPr="00E940F0" w:rsidRDefault="00E940F0" w:rsidP="00E940F0">
            <w:pPr>
              <w:autoSpaceDE w:val="0"/>
              <w:autoSpaceDN w:val="0"/>
              <w:adjustRightInd w:val="0"/>
              <w:jc w:val="both"/>
              <w:rPr>
                <w:rFonts w:ascii="Bookman Old Style" w:hAnsi="Bookman Old Style"/>
                <w:b/>
                <w:color w:val="231F20"/>
              </w:rPr>
            </w:pPr>
            <w:r w:rsidRPr="00E940F0">
              <w:rPr>
                <w:rFonts w:ascii="Bookman Old Style" w:hAnsi="Bookman Old Style" w:cs="TimesLTStd-Roman"/>
              </w:rPr>
              <w:t>con la Banca di sviluppo del Consiglio</w:t>
            </w:r>
            <w:r>
              <w:rPr>
                <w:rFonts w:ascii="Bookman Old Style" w:hAnsi="Bookman Old Style" w:cs="TimesLTStd-Roman"/>
              </w:rPr>
              <w:t xml:space="preserve"> </w:t>
            </w:r>
            <w:r w:rsidRPr="00E940F0">
              <w:rPr>
                <w:rFonts w:ascii="Bookman Old Style" w:hAnsi="Bookman Old Style" w:cs="TimesLTStd-Roman"/>
              </w:rPr>
              <w:t>d’Europa, con la Cassa depositi e prestiti</w:t>
            </w:r>
            <w:r>
              <w:rPr>
                <w:rFonts w:ascii="Bookman Old Style" w:hAnsi="Bookman Old Style" w:cs="TimesLTStd-Roman"/>
              </w:rPr>
              <w:t xml:space="preserve"> </w:t>
            </w:r>
            <w:r w:rsidRPr="00E940F0">
              <w:rPr>
                <w:rFonts w:ascii="Bookman Old Style" w:hAnsi="Bookman Old Style" w:cs="TimesLTStd-Roman"/>
              </w:rPr>
              <w:t>Spa e con i soggetti au</w:t>
            </w:r>
            <w:r w:rsidR="004959EF">
              <w:rPr>
                <w:rFonts w:ascii="Bookman Old Style" w:hAnsi="Bookman Old Style" w:cs="TimesLTStd-Roman"/>
              </w:rPr>
              <w:t>torizzati all’esercizio dell’attività bancaria ai sensi del testo</w:t>
            </w:r>
            <w:r>
              <w:rPr>
                <w:rFonts w:ascii="Bookman Old Style" w:hAnsi="Bookman Old Style" w:cs="TimesLTStd-Roman"/>
              </w:rPr>
              <w:t xml:space="preserve"> </w:t>
            </w:r>
            <w:r w:rsidRPr="00E940F0">
              <w:rPr>
                <w:rFonts w:ascii="Bookman Old Style" w:hAnsi="Bookman Old Style" w:cs="TimesLTStd-Roman"/>
              </w:rPr>
              <w:t>unico delle leggi in materia bancaria e creditizia,</w:t>
            </w:r>
            <w:r>
              <w:rPr>
                <w:rFonts w:ascii="Bookman Old Style" w:hAnsi="Bookman Old Style" w:cs="TimesLTStd-Roman"/>
              </w:rPr>
              <w:t xml:space="preserve"> </w:t>
            </w:r>
            <w:r w:rsidRPr="00E940F0">
              <w:rPr>
                <w:rFonts w:ascii="Bookman Old Style" w:hAnsi="Bookman Old Style" w:cs="TimesLTStd-Roman"/>
              </w:rPr>
              <w:t>di cui al decreto legislativo 1º settembre</w:t>
            </w:r>
            <w:r>
              <w:rPr>
                <w:rFonts w:ascii="Bookman Old Style" w:hAnsi="Bookman Old Style" w:cs="TimesLTStd-Roman"/>
              </w:rPr>
              <w:t xml:space="preserve"> </w:t>
            </w:r>
            <w:r w:rsidRPr="00E940F0">
              <w:rPr>
                <w:rFonts w:ascii="Bookman Old Style" w:hAnsi="Bookman Old Style" w:cs="TimesLTStd-Roman"/>
              </w:rPr>
              <w:t>1993, n. 385, compatibilmente con gli</w:t>
            </w:r>
            <w:r>
              <w:rPr>
                <w:rFonts w:ascii="Bookman Old Style" w:hAnsi="Bookman Old Style" w:cs="TimesLTStd-Roman"/>
              </w:rPr>
              <w:t xml:space="preserve"> </w:t>
            </w:r>
            <w:r w:rsidRPr="00E940F0">
              <w:rPr>
                <w:rFonts w:ascii="Bookman Old Style" w:hAnsi="Bookman Old Style" w:cs="TimesLTStd-Roman"/>
              </w:rPr>
              <w:t>obiettivi programmati di finanza pubblica.</w:t>
            </w:r>
          </w:p>
        </w:tc>
        <w:tc>
          <w:tcPr>
            <w:tcW w:w="7122" w:type="dxa"/>
            <w:gridSpan w:val="2"/>
          </w:tcPr>
          <w:p w:rsidR="00177D83" w:rsidRPr="000525B4" w:rsidRDefault="00177D83" w:rsidP="004959EF">
            <w:pPr>
              <w:pStyle w:val="NormaleWeb"/>
              <w:shd w:val="clear" w:color="auto" w:fill="FFFFFF"/>
              <w:spacing w:before="30" w:beforeAutospacing="0" w:after="30" w:afterAutospacing="0"/>
              <w:ind w:left="30"/>
              <w:jc w:val="both"/>
              <w:rPr>
                <w:rFonts w:ascii="Bookman Old Style" w:hAnsi="Bookman Old Style"/>
                <w:i/>
                <w:color w:val="000000"/>
                <w:sz w:val="22"/>
                <w:szCs w:val="22"/>
              </w:rPr>
            </w:pPr>
            <w:r w:rsidRPr="000525B4">
              <w:rPr>
                <w:rFonts w:ascii="Bookman Old Style" w:hAnsi="Bookman Old Style"/>
                <w:i/>
                <w:color w:val="000000"/>
                <w:sz w:val="22"/>
                <w:szCs w:val="22"/>
                <w:shd w:val="clear" w:color="auto" w:fill="FFFFFF"/>
              </w:rPr>
              <w:lastRenderedPageBreak/>
              <w:t>Il</w:t>
            </w:r>
            <w:r w:rsidRPr="000525B4">
              <w:rPr>
                <w:rStyle w:val="apple-converted-space"/>
                <w:rFonts w:ascii="Bookman Old Style" w:hAnsi="Bookman Old Style"/>
                <w:i/>
                <w:color w:val="000000"/>
                <w:sz w:val="22"/>
                <w:szCs w:val="22"/>
                <w:shd w:val="clear" w:color="auto" w:fill="FFFFFF"/>
              </w:rPr>
              <w:t> </w:t>
            </w:r>
            <w:r w:rsidRPr="000525B4">
              <w:rPr>
                <w:rFonts w:ascii="Bookman Old Style" w:hAnsi="Bookman Old Style"/>
                <w:b/>
                <w:bCs/>
                <w:i/>
                <w:color w:val="000000"/>
                <w:sz w:val="22"/>
                <w:szCs w:val="22"/>
                <w:shd w:val="clear" w:color="auto" w:fill="FFFFFF"/>
              </w:rPr>
              <w:t>comma 140</w:t>
            </w:r>
            <w:r w:rsidRPr="000525B4">
              <w:rPr>
                <w:rStyle w:val="apple-converted-space"/>
                <w:rFonts w:ascii="Bookman Old Style" w:hAnsi="Bookman Old Style"/>
                <w:b/>
                <w:bCs/>
                <w:i/>
                <w:color w:val="000000"/>
                <w:sz w:val="22"/>
                <w:szCs w:val="22"/>
                <w:shd w:val="clear" w:color="auto" w:fill="FFFFFF"/>
              </w:rPr>
              <w:t> </w:t>
            </w:r>
            <w:r w:rsidRPr="000525B4">
              <w:rPr>
                <w:rFonts w:ascii="Bookman Old Style" w:hAnsi="Bookman Old Style"/>
                <w:i/>
                <w:color w:val="000000"/>
                <w:sz w:val="22"/>
                <w:szCs w:val="22"/>
                <w:shd w:val="clear" w:color="auto" w:fill="FFFFFF"/>
              </w:rPr>
              <w:t>prevede l’istituzione, nello stato di previsione del Ministero dell'economia e delle finanze, di un</w:t>
            </w:r>
            <w:r w:rsidRPr="000525B4">
              <w:rPr>
                <w:rStyle w:val="apple-converted-space"/>
                <w:rFonts w:ascii="Bookman Old Style" w:hAnsi="Bookman Old Style"/>
                <w:i/>
                <w:color w:val="000000"/>
                <w:sz w:val="22"/>
                <w:szCs w:val="22"/>
                <w:shd w:val="clear" w:color="auto" w:fill="FFFFFF"/>
              </w:rPr>
              <w:t> </w:t>
            </w:r>
            <w:r w:rsidRPr="000525B4">
              <w:rPr>
                <w:rFonts w:ascii="Bookman Old Style" w:hAnsi="Bookman Old Style"/>
                <w:b/>
                <w:bCs/>
                <w:i/>
                <w:color w:val="000000"/>
                <w:sz w:val="22"/>
                <w:szCs w:val="22"/>
                <w:shd w:val="clear" w:color="auto" w:fill="FFFFFF"/>
              </w:rPr>
              <w:t>Fondo</w:t>
            </w:r>
            <w:r w:rsidRPr="000525B4">
              <w:rPr>
                <w:rStyle w:val="apple-converted-space"/>
                <w:rFonts w:ascii="Bookman Old Style" w:hAnsi="Bookman Old Style"/>
                <w:b/>
                <w:bCs/>
                <w:i/>
                <w:color w:val="000000"/>
                <w:sz w:val="22"/>
                <w:szCs w:val="22"/>
                <w:shd w:val="clear" w:color="auto" w:fill="FFFFFF"/>
              </w:rPr>
              <w:t> </w:t>
            </w:r>
            <w:r w:rsidRPr="000525B4">
              <w:rPr>
                <w:rFonts w:ascii="Bookman Old Style" w:hAnsi="Bookman Old Style"/>
                <w:i/>
                <w:color w:val="000000"/>
                <w:sz w:val="22"/>
                <w:szCs w:val="22"/>
                <w:shd w:val="clear" w:color="auto" w:fill="FFFFFF"/>
              </w:rPr>
              <w:t>con una dotazione di 1.900 milioni di euro per l’anno 2017, 3.150 milioni per l’anno 2018, 3.500 milioni per l’anno 2019 e 3.000 milioni di euro per ciascuno degli anni dal 2020 al 2032.</w:t>
            </w:r>
            <w:r w:rsidRPr="000525B4">
              <w:rPr>
                <w:rFonts w:ascii="Bookman Old Style" w:hAnsi="Bookman Old Style"/>
                <w:i/>
                <w:color w:val="000000"/>
                <w:sz w:val="22"/>
                <w:szCs w:val="22"/>
              </w:rPr>
              <w:t xml:space="preserve"> si prevede che il Fondo, oltre ad assicurare il finanziamento degli investimenti e lo sviluppo infrastrutturale del Paese, sia istituito anche al fine di pervenire alla </w:t>
            </w:r>
            <w:r w:rsidRPr="000525B4">
              <w:rPr>
                <w:rFonts w:ascii="Bookman Old Style" w:hAnsi="Bookman Old Style"/>
                <w:bCs/>
                <w:i/>
                <w:color w:val="000000"/>
                <w:sz w:val="22"/>
                <w:szCs w:val="22"/>
              </w:rPr>
              <w:t>soluzione</w:t>
            </w:r>
            <w:r w:rsidRPr="000525B4">
              <w:rPr>
                <w:rFonts w:ascii="Bookman Old Style" w:hAnsi="Bookman Old Style"/>
                <w:i/>
                <w:color w:val="000000"/>
                <w:sz w:val="22"/>
                <w:szCs w:val="22"/>
              </w:rPr>
              <w:t> delle questioni oggetto di </w:t>
            </w:r>
            <w:r w:rsidRPr="000525B4">
              <w:rPr>
                <w:rFonts w:ascii="Bookman Old Style" w:hAnsi="Bookman Old Style"/>
                <w:bCs/>
                <w:i/>
                <w:color w:val="000000"/>
                <w:sz w:val="22"/>
                <w:szCs w:val="22"/>
              </w:rPr>
              <w:t>procedure di infrazione</w:t>
            </w:r>
            <w:r w:rsidRPr="000525B4">
              <w:rPr>
                <w:rFonts w:ascii="Bookman Old Style" w:hAnsi="Bookman Old Style"/>
                <w:i/>
                <w:color w:val="000000"/>
                <w:sz w:val="22"/>
                <w:szCs w:val="22"/>
              </w:rPr>
              <w:t> da parte dell’Unione europea.</w:t>
            </w:r>
          </w:p>
          <w:p w:rsidR="00177D83" w:rsidRPr="000525B4" w:rsidRDefault="00177D83" w:rsidP="004959EF">
            <w:pPr>
              <w:shd w:val="clear" w:color="auto" w:fill="FFFFFF"/>
              <w:spacing w:before="30" w:after="30"/>
              <w:ind w:left="3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i/>
                <w:color w:val="000000"/>
                <w:lang w:eastAsia="it-IT"/>
              </w:rPr>
              <w:t>Il Fondo generalmente è destinato a finanziare interventi nei seguenti settori:</w:t>
            </w:r>
          </w:p>
          <w:p w:rsidR="00177D83" w:rsidRPr="000525B4" w:rsidRDefault="00177D83" w:rsidP="004959EF">
            <w:pPr>
              <w:numPr>
                <w:ilvl w:val="0"/>
                <w:numId w:val="10"/>
              </w:numPr>
              <w:shd w:val="clear" w:color="auto" w:fill="FFFFFF"/>
              <w:spacing w:after="90" w:line="192" w:lineRule="atLeast"/>
              <w:ind w:left="24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trasporti, viabilità</w:t>
            </w:r>
            <w:r w:rsidRPr="000525B4">
              <w:rPr>
                <w:rFonts w:ascii="Bookman Old Style" w:eastAsia="Times New Roman" w:hAnsi="Bookman Old Style" w:cs="Times New Roman"/>
                <w:i/>
                <w:color w:val="000000"/>
                <w:lang w:eastAsia="it-IT"/>
              </w:rPr>
              <w:t> </w:t>
            </w:r>
            <w:r w:rsidR="008B5E19" w:rsidRPr="000525B4">
              <w:rPr>
                <w:rFonts w:ascii="Bookman Old Style" w:eastAsia="Times New Roman" w:hAnsi="Bookman Old Style" w:cs="Times New Roman"/>
                <w:i/>
                <w:color w:val="000000"/>
                <w:lang w:eastAsia="it-IT"/>
              </w:rPr>
              <w:t xml:space="preserve"> </w:t>
            </w:r>
            <w:r w:rsidRPr="000525B4">
              <w:rPr>
                <w:rFonts w:ascii="Bookman Old Style" w:eastAsia="Times New Roman" w:hAnsi="Bookman Old Style" w:cs="Times New Roman"/>
                <w:i/>
                <w:color w:val="000000"/>
                <w:lang w:eastAsia="it-IT"/>
              </w:rPr>
              <w:t xml:space="preserve">e, </w:t>
            </w:r>
            <w:r w:rsidRPr="000525B4">
              <w:rPr>
                <w:rFonts w:ascii="Bookman Old Style" w:eastAsia="Times New Roman" w:hAnsi="Bookman Old Style" w:cs="Times New Roman"/>
                <w:bCs/>
                <w:i/>
                <w:color w:val="000000"/>
                <w:lang w:eastAsia="it-IT"/>
              </w:rPr>
              <w:t>mobilità sostenibile</w:t>
            </w:r>
            <w:r w:rsidRPr="000525B4">
              <w:rPr>
                <w:rFonts w:ascii="Bookman Old Style" w:eastAsia="Times New Roman" w:hAnsi="Bookman Old Style" w:cs="Times New Roman"/>
                <w:i/>
                <w:color w:val="000000"/>
                <w:lang w:eastAsia="it-IT"/>
              </w:rPr>
              <w:t>, </w:t>
            </w:r>
            <w:r w:rsidRPr="000525B4">
              <w:rPr>
                <w:rFonts w:ascii="Bookman Old Style" w:eastAsia="Times New Roman" w:hAnsi="Bookman Old Style" w:cs="Times New Roman"/>
                <w:bCs/>
                <w:i/>
                <w:color w:val="000000"/>
                <w:lang w:eastAsia="it-IT"/>
              </w:rPr>
              <w:t>sicurezza stradale</w:t>
            </w:r>
            <w:r w:rsidRPr="000525B4">
              <w:rPr>
                <w:rFonts w:ascii="Bookman Old Style" w:eastAsia="Times New Roman" w:hAnsi="Bookman Old Style" w:cs="Times New Roman"/>
                <w:i/>
                <w:color w:val="000000"/>
                <w:lang w:eastAsia="it-IT"/>
              </w:rPr>
              <w:t>, riqualificazione e accessibilità delle stazioni ferroviarie;</w:t>
            </w:r>
          </w:p>
          <w:p w:rsidR="008B5E19" w:rsidRPr="000525B4" w:rsidRDefault="00177D83" w:rsidP="008B5E19">
            <w:pPr>
              <w:numPr>
                <w:ilvl w:val="0"/>
                <w:numId w:val="10"/>
              </w:numPr>
              <w:shd w:val="clear" w:color="auto" w:fill="FFFFFF"/>
              <w:spacing w:after="90" w:line="192" w:lineRule="atLeast"/>
              <w:ind w:left="24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infrastrutture</w:t>
            </w:r>
            <w:r w:rsidRPr="000525B4">
              <w:rPr>
                <w:rFonts w:ascii="Bookman Old Style" w:eastAsia="Times New Roman" w:hAnsi="Bookman Old Style" w:cs="Times New Roman"/>
                <w:i/>
                <w:color w:val="000000"/>
                <w:lang w:eastAsia="it-IT"/>
              </w:rPr>
              <w:t>, anche  relative alla rete idrica e alle </w:t>
            </w:r>
            <w:r w:rsidRPr="000525B4">
              <w:rPr>
                <w:rFonts w:ascii="Bookman Old Style" w:eastAsia="Times New Roman" w:hAnsi="Bookman Old Style" w:cs="Times New Roman"/>
                <w:bCs/>
                <w:i/>
                <w:color w:val="000000"/>
                <w:lang w:eastAsia="it-IT"/>
              </w:rPr>
              <w:t xml:space="preserve">opere di </w:t>
            </w:r>
            <w:proofErr w:type="spellStart"/>
            <w:r w:rsidRPr="000525B4">
              <w:rPr>
                <w:rFonts w:ascii="Bookman Old Style" w:eastAsia="Times New Roman" w:hAnsi="Bookman Old Style" w:cs="Times New Roman"/>
                <w:bCs/>
                <w:i/>
                <w:color w:val="000000"/>
                <w:lang w:eastAsia="it-IT"/>
              </w:rPr>
              <w:lastRenderedPageBreak/>
              <w:t>collettamento</w:t>
            </w:r>
            <w:proofErr w:type="spellEnd"/>
            <w:r w:rsidRPr="000525B4">
              <w:rPr>
                <w:rFonts w:ascii="Bookman Old Style" w:eastAsia="Times New Roman" w:hAnsi="Bookman Old Style" w:cs="Times New Roman"/>
                <w:bCs/>
                <w:i/>
                <w:color w:val="000000"/>
                <w:lang w:eastAsia="it-IT"/>
              </w:rPr>
              <w:t>, fognatura e depurazione</w:t>
            </w:r>
            <w:r w:rsidRPr="000525B4">
              <w:rPr>
                <w:rFonts w:ascii="Bookman Old Style" w:eastAsia="Times New Roman" w:hAnsi="Bookman Old Style" w:cs="Times New Roman"/>
                <w:i/>
                <w:color w:val="000000"/>
                <w:lang w:eastAsia="it-IT"/>
              </w:rPr>
              <w:t>;</w:t>
            </w:r>
          </w:p>
          <w:p w:rsidR="00177D83" w:rsidRPr="000525B4" w:rsidRDefault="00177D83" w:rsidP="008B5E19">
            <w:pPr>
              <w:numPr>
                <w:ilvl w:val="0"/>
                <w:numId w:val="10"/>
              </w:numPr>
              <w:shd w:val="clear" w:color="auto" w:fill="FFFFFF"/>
              <w:spacing w:after="90" w:line="192" w:lineRule="atLeast"/>
              <w:ind w:left="24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ricerca</w:t>
            </w:r>
            <w:r w:rsidRPr="000525B4">
              <w:rPr>
                <w:rFonts w:ascii="Bookman Old Style" w:eastAsia="Times New Roman" w:hAnsi="Bookman Old Style" w:cs="Times New Roman"/>
                <w:i/>
                <w:color w:val="000000"/>
                <w:lang w:eastAsia="it-IT"/>
              </w:rPr>
              <w:t>;</w:t>
            </w:r>
          </w:p>
          <w:p w:rsidR="00177D83" w:rsidRPr="000525B4" w:rsidRDefault="00177D83" w:rsidP="004959EF">
            <w:pPr>
              <w:numPr>
                <w:ilvl w:val="0"/>
                <w:numId w:val="11"/>
              </w:numPr>
              <w:shd w:val="clear" w:color="auto" w:fill="FFFFFF"/>
              <w:spacing w:after="90" w:line="192" w:lineRule="atLeast"/>
              <w:ind w:left="48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difesa del suolo e dissesto idrogeologico</w:t>
            </w:r>
            <w:r w:rsidRPr="000525B4">
              <w:rPr>
                <w:rFonts w:ascii="Bookman Old Style" w:eastAsia="Times New Roman" w:hAnsi="Bookman Old Style" w:cs="Times New Roman"/>
                <w:i/>
                <w:color w:val="000000"/>
                <w:lang w:eastAsia="it-IT"/>
              </w:rPr>
              <w:t xml:space="preserve">, nonché </w:t>
            </w:r>
            <w:r w:rsidRPr="000525B4">
              <w:rPr>
                <w:rFonts w:ascii="Bookman Old Style" w:eastAsia="Times New Roman" w:hAnsi="Bookman Old Style" w:cs="Times New Roman"/>
                <w:bCs/>
                <w:i/>
                <w:color w:val="000000"/>
                <w:lang w:eastAsia="it-IT"/>
              </w:rPr>
              <w:t>risanamento ambientale e bonifiche</w:t>
            </w:r>
            <w:r w:rsidRPr="000525B4">
              <w:rPr>
                <w:rFonts w:ascii="Bookman Old Style" w:eastAsia="Times New Roman" w:hAnsi="Bookman Old Style" w:cs="Times New Roman"/>
                <w:i/>
                <w:color w:val="000000"/>
                <w:lang w:eastAsia="it-IT"/>
              </w:rPr>
              <w:t>;</w:t>
            </w:r>
          </w:p>
          <w:p w:rsidR="004959EF" w:rsidRPr="000525B4" w:rsidRDefault="004959EF" w:rsidP="004959EF">
            <w:pPr>
              <w:numPr>
                <w:ilvl w:val="0"/>
                <w:numId w:val="12"/>
              </w:numPr>
              <w:shd w:val="clear" w:color="auto" w:fill="FFFFFF"/>
              <w:spacing w:after="90" w:line="192" w:lineRule="atLeast"/>
              <w:ind w:left="48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edilizia pubblica</w:t>
            </w:r>
            <w:r w:rsidRPr="000525B4">
              <w:rPr>
                <w:rFonts w:ascii="Bookman Old Style" w:eastAsia="Times New Roman" w:hAnsi="Bookman Old Style" w:cs="Times New Roman"/>
                <w:i/>
                <w:color w:val="000000"/>
                <w:lang w:eastAsia="it-IT"/>
              </w:rPr>
              <w:t>, compresa quella scolastica;</w:t>
            </w:r>
          </w:p>
          <w:p w:rsidR="004959EF" w:rsidRPr="000525B4" w:rsidRDefault="004959EF" w:rsidP="004959EF">
            <w:pPr>
              <w:numPr>
                <w:ilvl w:val="0"/>
                <w:numId w:val="12"/>
              </w:numPr>
              <w:shd w:val="clear" w:color="auto" w:fill="FFFFFF"/>
              <w:spacing w:after="90" w:line="192" w:lineRule="atLeast"/>
              <w:ind w:left="48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attività industriali ad alta tecnologia</w:t>
            </w:r>
            <w:r w:rsidRPr="000525B4">
              <w:rPr>
                <w:rFonts w:ascii="Bookman Old Style" w:eastAsia="Times New Roman" w:hAnsi="Bookman Old Style" w:cs="Times New Roman"/>
                <w:i/>
                <w:color w:val="000000"/>
                <w:lang w:eastAsia="it-IT"/>
              </w:rPr>
              <w:t> e </w:t>
            </w:r>
            <w:r w:rsidRPr="000525B4">
              <w:rPr>
                <w:rFonts w:ascii="Bookman Old Style" w:eastAsia="Times New Roman" w:hAnsi="Bookman Old Style" w:cs="Times New Roman"/>
                <w:bCs/>
                <w:i/>
                <w:color w:val="000000"/>
                <w:lang w:eastAsia="it-IT"/>
              </w:rPr>
              <w:t>sostegno alle esportazioni</w:t>
            </w:r>
            <w:r w:rsidRPr="000525B4">
              <w:rPr>
                <w:rFonts w:ascii="Bookman Old Style" w:eastAsia="Times New Roman" w:hAnsi="Bookman Old Style" w:cs="Times New Roman"/>
                <w:i/>
                <w:color w:val="000000"/>
                <w:lang w:eastAsia="it-IT"/>
              </w:rPr>
              <w:t>;</w:t>
            </w:r>
          </w:p>
          <w:p w:rsidR="004959EF" w:rsidRPr="000525B4" w:rsidRDefault="004959EF" w:rsidP="004959EF">
            <w:pPr>
              <w:numPr>
                <w:ilvl w:val="0"/>
                <w:numId w:val="12"/>
              </w:numPr>
              <w:shd w:val="clear" w:color="auto" w:fill="FFFFFF"/>
              <w:spacing w:after="90" w:line="192" w:lineRule="atLeast"/>
              <w:ind w:left="48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informatizzazione dell’amministrazione giudiziaria</w:t>
            </w:r>
            <w:r w:rsidRPr="000525B4">
              <w:rPr>
                <w:rFonts w:ascii="Bookman Old Style" w:eastAsia="Times New Roman" w:hAnsi="Bookman Old Style" w:cs="Times New Roman"/>
                <w:i/>
                <w:color w:val="000000"/>
                <w:lang w:eastAsia="it-IT"/>
              </w:rPr>
              <w:t>;</w:t>
            </w:r>
          </w:p>
          <w:p w:rsidR="004959EF" w:rsidRPr="000525B4" w:rsidRDefault="004959EF" w:rsidP="004959EF">
            <w:pPr>
              <w:numPr>
                <w:ilvl w:val="0"/>
                <w:numId w:val="13"/>
              </w:numPr>
              <w:shd w:val="clear" w:color="auto" w:fill="FFFFFF"/>
              <w:spacing w:after="90" w:line="192" w:lineRule="atLeast"/>
              <w:ind w:left="480"/>
              <w:jc w:val="both"/>
              <w:rPr>
                <w:rFonts w:ascii="Bookman Old Style" w:eastAsia="Times New Roman" w:hAnsi="Bookman Old Style" w:cs="Times New Roman"/>
                <w:i/>
                <w:color w:val="000000"/>
                <w:lang w:eastAsia="it-IT"/>
              </w:rPr>
            </w:pPr>
            <w:r w:rsidRPr="000525B4">
              <w:rPr>
                <w:rFonts w:ascii="Bookman Old Style" w:eastAsia="Times New Roman" w:hAnsi="Bookman Old Style" w:cs="Times New Roman"/>
                <w:bCs/>
                <w:i/>
                <w:color w:val="000000"/>
                <w:lang w:eastAsia="it-IT"/>
              </w:rPr>
              <w:t>prevenzione del rischio sismico</w:t>
            </w:r>
            <w:r w:rsidRPr="000525B4">
              <w:rPr>
                <w:rFonts w:ascii="Bookman Old Style" w:eastAsia="Times New Roman" w:hAnsi="Bookman Old Style" w:cs="Times New Roman"/>
                <w:i/>
                <w:color w:val="000000"/>
                <w:lang w:eastAsia="it-IT"/>
              </w:rPr>
              <w:t>.</w:t>
            </w:r>
          </w:p>
          <w:p w:rsidR="004959EF" w:rsidRPr="000525B4" w:rsidRDefault="004959EF" w:rsidP="004959EF">
            <w:pPr>
              <w:numPr>
                <w:ilvl w:val="0"/>
                <w:numId w:val="14"/>
              </w:numPr>
              <w:shd w:val="clear" w:color="auto" w:fill="FFFFFF"/>
              <w:spacing w:after="90" w:line="192" w:lineRule="atLeast"/>
              <w:ind w:left="480"/>
              <w:jc w:val="both"/>
              <w:rPr>
                <w:rFonts w:ascii="Bookman Old Style" w:hAnsi="Bookman Old Style"/>
                <w:i/>
                <w:color w:val="000000"/>
              </w:rPr>
            </w:pPr>
            <w:r w:rsidRPr="000525B4">
              <w:rPr>
                <w:rFonts w:ascii="Bookman Old Style" w:hAnsi="Bookman Old Style"/>
                <w:i/>
                <w:color w:val="000000"/>
              </w:rPr>
              <w:t>la</w:t>
            </w:r>
            <w:r w:rsidRPr="000525B4">
              <w:rPr>
                <w:rStyle w:val="apple-converted-space"/>
                <w:rFonts w:ascii="Bookman Old Style" w:hAnsi="Bookman Old Style"/>
                <w:i/>
                <w:color w:val="000000"/>
              </w:rPr>
              <w:t> </w:t>
            </w:r>
            <w:r w:rsidRPr="000525B4">
              <w:rPr>
                <w:rFonts w:ascii="Bookman Old Style" w:hAnsi="Bookman Old Style"/>
                <w:bCs/>
                <w:i/>
                <w:color w:val="000000"/>
              </w:rPr>
              <w:t>riqualificazione urbana</w:t>
            </w:r>
            <w:r w:rsidRPr="000525B4">
              <w:rPr>
                <w:rStyle w:val="apple-converted-space"/>
                <w:rFonts w:ascii="Bookman Old Style" w:hAnsi="Bookman Old Style"/>
                <w:i/>
                <w:color w:val="000000"/>
              </w:rPr>
              <w:t> </w:t>
            </w:r>
            <w:r w:rsidRPr="000525B4">
              <w:rPr>
                <w:rFonts w:ascii="Bookman Old Style" w:hAnsi="Bookman Old Style"/>
                <w:i/>
                <w:color w:val="000000"/>
              </w:rPr>
              <w:t>e la</w:t>
            </w:r>
            <w:r w:rsidRPr="000525B4">
              <w:rPr>
                <w:rStyle w:val="apple-converted-space"/>
                <w:rFonts w:ascii="Bookman Old Style" w:hAnsi="Bookman Old Style"/>
                <w:i/>
                <w:color w:val="000000"/>
              </w:rPr>
              <w:t> </w:t>
            </w:r>
            <w:r w:rsidRPr="000525B4">
              <w:rPr>
                <w:rFonts w:ascii="Bookman Old Style" w:hAnsi="Bookman Old Style"/>
                <w:bCs/>
                <w:i/>
                <w:color w:val="000000"/>
              </w:rPr>
              <w:t>sicurezza delle periferie</w:t>
            </w:r>
            <w:r w:rsidRPr="000525B4">
              <w:rPr>
                <w:rStyle w:val="apple-converted-space"/>
                <w:rFonts w:ascii="Bookman Old Style" w:hAnsi="Bookman Old Style"/>
                <w:i/>
                <w:color w:val="000000"/>
              </w:rPr>
              <w:t> </w:t>
            </w:r>
            <w:r w:rsidRPr="000525B4">
              <w:rPr>
                <w:rFonts w:ascii="Bookman Old Style" w:hAnsi="Bookman Old Style"/>
                <w:i/>
                <w:color w:val="000000"/>
              </w:rPr>
              <w:t>delle città metropolitane e dei comuni capoluogo di provincia;</w:t>
            </w:r>
          </w:p>
          <w:p w:rsidR="004959EF" w:rsidRPr="000525B4" w:rsidRDefault="004959EF" w:rsidP="004959EF">
            <w:pPr>
              <w:numPr>
                <w:ilvl w:val="0"/>
                <w:numId w:val="15"/>
              </w:numPr>
              <w:shd w:val="clear" w:color="auto" w:fill="FFFFFF"/>
              <w:spacing w:after="90" w:line="192" w:lineRule="atLeast"/>
              <w:ind w:left="480"/>
              <w:jc w:val="both"/>
              <w:rPr>
                <w:rFonts w:ascii="Bookman Old Style" w:hAnsi="Bookman Old Style"/>
                <w:i/>
                <w:color w:val="000000"/>
              </w:rPr>
            </w:pPr>
            <w:r w:rsidRPr="000525B4">
              <w:rPr>
                <w:rFonts w:ascii="Bookman Old Style" w:hAnsi="Bookman Old Style"/>
                <w:i/>
                <w:color w:val="000000"/>
              </w:rPr>
              <w:t>l’</w:t>
            </w:r>
            <w:r w:rsidRPr="000525B4">
              <w:rPr>
                <w:rFonts w:ascii="Bookman Old Style" w:hAnsi="Bookman Old Style"/>
                <w:bCs/>
                <w:i/>
                <w:color w:val="000000"/>
              </w:rPr>
              <w:t>eliminazione delle barriere architettoniche</w:t>
            </w:r>
            <w:r w:rsidRPr="000525B4">
              <w:rPr>
                <w:rFonts w:ascii="Bookman Old Style" w:hAnsi="Bookman Old Style"/>
                <w:i/>
                <w:color w:val="000000"/>
              </w:rPr>
              <w:t>.</w:t>
            </w:r>
          </w:p>
          <w:p w:rsidR="005E1323" w:rsidRPr="00E940F0" w:rsidRDefault="004959EF" w:rsidP="005E1323">
            <w:pPr>
              <w:shd w:val="clear" w:color="auto" w:fill="FFFFFF"/>
              <w:spacing w:after="90" w:line="192" w:lineRule="atLeast"/>
              <w:jc w:val="both"/>
              <w:rPr>
                <w:rFonts w:ascii="Bookman Old Style" w:hAnsi="Bookman Old Style"/>
                <w:i/>
                <w:color w:val="000000"/>
              </w:rPr>
            </w:pPr>
            <w:r w:rsidRPr="000525B4">
              <w:rPr>
                <w:rFonts w:ascii="Bookman Old Style" w:hAnsi="Bookman Old Style"/>
                <w:i/>
                <w:color w:val="000000"/>
                <w:shd w:val="clear" w:color="auto" w:fill="FFFFFF"/>
              </w:rPr>
              <w:t xml:space="preserve">L’operatività del Fondo sarà disciplinata con uno o più decreti del Presidente del Consiglio dei Ministri, da adottare su proposta del Ministro dell'economia e delle finanze di concerto con i Ministri interessati, in relazione ai programmi presentati dalle amministrazioni centrali dello Stato. Con tali decreti devono essere individuati gli interventi da finanziare e i relativi importi. </w:t>
            </w:r>
            <w:r w:rsidR="000525B4">
              <w:rPr>
                <w:rFonts w:ascii="Bookman Old Style" w:hAnsi="Bookman Old Style"/>
                <w:i/>
                <w:color w:val="000000"/>
                <w:shd w:val="clear" w:color="auto" w:fill="FFFFFF"/>
              </w:rPr>
              <w:t xml:space="preserve">E’ </w:t>
            </w:r>
            <w:r w:rsidRPr="000525B4">
              <w:rPr>
                <w:rFonts w:ascii="Bookman Old Style" w:hAnsi="Bookman Old Style"/>
                <w:i/>
                <w:color w:val="000000"/>
                <w:shd w:val="clear" w:color="auto" w:fill="FFFFFF"/>
              </w:rPr>
              <w:t>previsto che gli</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schemi di decreto</w:t>
            </w:r>
            <w:r w:rsidRPr="000525B4">
              <w:rPr>
                <w:rStyle w:val="apple-converted-space"/>
                <w:rFonts w:ascii="Bookman Old Style" w:hAnsi="Bookman Old Style"/>
                <w:i/>
                <w:color w:val="000000"/>
                <w:shd w:val="clear" w:color="auto" w:fill="FFFFFF"/>
              </w:rPr>
              <w:t> </w:t>
            </w:r>
            <w:r w:rsidRPr="000525B4">
              <w:rPr>
                <w:rFonts w:ascii="Bookman Old Style" w:hAnsi="Bookman Old Style"/>
                <w:i/>
                <w:color w:val="000000"/>
                <w:shd w:val="clear" w:color="auto" w:fill="FFFFFF"/>
              </w:rPr>
              <w:t>s</w:t>
            </w:r>
            <w:r w:rsidR="000525B4">
              <w:rPr>
                <w:rFonts w:ascii="Bookman Old Style" w:hAnsi="Bookman Old Style"/>
                <w:i/>
                <w:color w:val="000000"/>
                <w:shd w:val="clear" w:color="auto" w:fill="FFFFFF"/>
              </w:rPr>
              <w:t>iano</w:t>
            </w:r>
            <w:r w:rsidRPr="000525B4">
              <w:rPr>
                <w:rFonts w:ascii="Bookman Old Style" w:hAnsi="Bookman Old Style"/>
                <w:i/>
                <w:color w:val="000000"/>
                <w:shd w:val="clear" w:color="auto" w:fill="FFFFFF"/>
              </w:rPr>
              <w:t xml:space="preserve"> trasmessi alle</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Commissioni parlamentari</w:t>
            </w:r>
            <w:r w:rsidRPr="000525B4">
              <w:rPr>
                <w:rStyle w:val="apple-converted-space"/>
                <w:rFonts w:ascii="Bookman Old Style" w:hAnsi="Bookman Old Style"/>
                <w:i/>
                <w:color w:val="000000"/>
                <w:shd w:val="clear" w:color="auto" w:fill="FFFFFF"/>
              </w:rPr>
              <w:t> </w:t>
            </w:r>
            <w:r w:rsidRPr="000525B4">
              <w:rPr>
                <w:rFonts w:ascii="Bookman Old Style" w:hAnsi="Bookman Old Style"/>
                <w:i/>
                <w:color w:val="000000"/>
                <w:shd w:val="clear" w:color="auto" w:fill="FFFFFF"/>
              </w:rPr>
              <w:t>competenti per materia, le quali esprimono il proprio</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parere</w:t>
            </w:r>
            <w:r w:rsidRPr="000525B4">
              <w:rPr>
                <w:rStyle w:val="apple-converted-space"/>
                <w:rFonts w:ascii="Bookman Old Style" w:hAnsi="Bookman Old Style"/>
                <w:b/>
                <w:bCs/>
                <w:i/>
                <w:color w:val="000000"/>
                <w:shd w:val="clear" w:color="auto" w:fill="FFFFFF"/>
              </w:rPr>
              <w:t> </w:t>
            </w:r>
            <w:r w:rsidRPr="000525B4">
              <w:rPr>
                <w:rFonts w:ascii="Bookman Old Style" w:hAnsi="Bookman Old Style"/>
                <w:i/>
                <w:color w:val="000000"/>
                <w:shd w:val="clear" w:color="auto" w:fill="FFFFFF"/>
              </w:rPr>
              <w:t>entro trenta giorni dalla data dell’assegnazione; decorso tale termine, i decreti possono essere adottati anche in mancanza di tale parere. La norma prevede, inoltre, che i predetti provvedimenti devono indicare le modalità di utilizzo dei contributi, sulla base di criteri di economicità e contenimento della spesa, anche attraverso operazioni finanziarie con</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oneri di ammortamento a carico del bilancio dello Stato</w:t>
            </w:r>
            <w:r w:rsidRPr="000525B4">
              <w:rPr>
                <w:rFonts w:ascii="Bookman Old Style" w:hAnsi="Bookman Old Style"/>
                <w:i/>
                <w:color w:val="000000"/>
                <w:shd w:val="clear" w:color="auto" w:fill="FFFFFF"/>
              </w:rPr>
              <w:t>, con la Banca europea per gli investimenti (BEI), con la Banca di sviluppo del Consiglio d'Europa (CEB), con la Cassa depositi e prestiti S.p.A. e con i soggetti autorizzati all’esercizio dell’attività bancaria, compatibilmente con gli obiettivi programmati di finanza pubblica.</w:t>
            </w:r>
          </w:p>
        </w:tc>
      </w:tr>
      <w:tr w:rsidR="007E364B" w:rsidTr="00190A11">
        <w:trPr>
          <w:gridAfter w:val="1"/>
          <w:wAfter w:w="150" w:type="dxa"/>
        </w:trPr>
        <w:tc>
          <w:tcPr>
            <w:tcW w:w="14277" w:type="dxa"/>
            <w:gridSpan w:val="4"/>
          </w:tcPr>
          <w:p w:rsidR="007E364B" w:rsidRPr="000778A2" w:rsidRDefault="003743D6" w:rsidP="007E364B">
            <w:pPr>
              <w:jc w:val="center"/>
              <w:rPr>
                <w:rFonts w:ascii="Bookman Old Style" w:hAnsi="Bookman Old Style"/>
                <w:b/>
                <w:bCs/>
                <w:i/>
                <w:color w:val="000000"/>
              </w:rPr>
            </w:pPr>
            <w:r>
              <w:rPr>
                <w:rFonts w:ascii="Bookman Old Style" w:hAnsi="Bookman Old Style"/>
                <w:b/>
                <w:bCs/>
                <w:i/>
                <w:color w:val="000000"/>
              </w:rPr>
              <w:lastRenderedPageBreak/>
              <w:t>Bando periferie</w:t>
            </w:r>
          </w:p>
        </w:tc>
      </w:tr>
      <w:tr w:rsidR="007E364B" w:rsidTr="00481472">
        <w:trPr>
          <w:gridAfter w:val="1"/>
          <w:wAfter w:w="150" w:type="dxa"/>
        </w:trPr>
        <w:tc>
          <w:tcPr>
            <w:tcW w:w="7155" w:type="dxa"/>
            <w:gridSpan w:val="2"/>
          </w:tcPr>
          <w:p w:rsidR="007E364B" w:rsidRPr="00C82B53" w:rsidRDefault="00190A11" w:rsidP="00190A11">
            <w:pPr>
              <w:shd w:val="clear" w:color="auto" w:fill="FFFFFF"/>
              <w:jc w:val="both"/>
              <w:rPr>
                <w:rFonts w:ascii="Bookman Old Style" w:eastAsia="Times New Roman" w:hAnsi="Bookman Old Style" w:cs="Arial"/>
                <w:b/>
                <w:lang w:eastAsia="it-IT"/>
              </w:rPr>
            </w:pPr>
            <w:r w:rsidRPr="00C82B53">
              <w:rPr>
                <w:rFonts w:ascii="Bookman Old Style" w:hAnsi="Bookman Old Style"/>
                <w:b/>
                <w:color w:val="231F20"/>
              </w:rPr>
              <w:lastRenderedPageBreak/>
              <w:t>141. Al fine di garantire il completo finanziamento dei progetti selezionati nell’ambito del Programma straordinario di intervento per la riqualificazione urbana e la sicurezza delle periferie delle città metropolitane e dei comuni capoluogo di provincia, di cui all’articolo 1, commi da 974 a 978, della legge 28 dicembre 2015, n. 208, a integrazione delle risorse stanziate sull’apposito capitolo di spesa e di quelle assegnate ai sensi del comma 140 del presente articolo, con delibera del Comitato interministeriale per la programmazione economica sono destinate ulteriori risorse a valere sulle risorse disponibili del Fondo per lo sviluppo e la coesione per il periodo di programmazione 2014-2020.</w:t>
            </w:r>
          </w:p>
        </w:tc>
        <w:tc>
          <w:tcPr>
            <w:tcW w:w="7122" w:type="dxa"/>
            <w:gridSpan w:val="2"/>
          </w:tcPr>
          <w:p w:rsidR="007E364B" w:rsidRPr="007E364B" w:rsidRDefault="007E364B" w:rsidP="007E364B">
            <w:pPr>
              <w:jc w:val="both"/>
              <w:rPr>
                <w:rFonts w:ascii="Bookman Old Style" w:hAnsi="Bookman Old Style"/>
                <w:i/>
                <w:color w:val="000000"/>
              </w:rPr>
            </w:pPr>
            <w:r w:rsidRPr="007E364B">
              <w:rPr>
                <w:rFonts w:ascii="Bookman Old Style" w:hAnsi="Bookman Old Style"/>
                <w:bCs/>
                <w:i/>
                <w:iCs/>
                <w:color w:val="000000"/>
              </w:rPr>
              <w:t xml:space="preserve">E’ stato </w:t>
            </w:r>
            <w:r w:rsidR="00C82B53">
              <w:rPr>
                <w:rFonts w:ascii="Bookman Old Style" w:hAnsi="Bookman Old Style"/>
                <w:bCs/>
                <w:i/>
                <w:iCs/>
                <w:color w:val="000000"/>
              </w:rPr>
              <w:t>introdotto dalla Camera</w:t>
            </w:r>
            <w:r w:rsidRPr="007E364B">
              <w:rPr>
                <w:rFonts w:ascii="Bookman Old Style" w:hAnsi="Bookman Old Style"/>
                <w:bCs/>
                <w:i/>
                <w:iCs/>
                <w:color w:val="000000"/>
              </w:rPr>
              <w:t xml:space="preserve"> il comma 141</w:t>
            </w:r>
            <w:r w:rsidRPr="007E364B">
              <w:rPr>
                <w:rFonts w:ascii="Bookman Old Style" w:hAnsi="Bookman Old Style"/>
                <w:i/>
                <w:color w:val="000000"/>
              </w:rPr>
              <w:t xml:space="preserve">, che destina </w:t>
            </w:r>
            <w:r w:rsidRPr="007E364B">
              <w:rPr>
                <w:rFonts w:ascii="Bookman Old Style" w:hAnsi="Bookman Old Style"/>
                <w:bCs/>
                <w:i/>
                <w:color w:val="000000"/>
              </w:rPr>
              <w:t>ulteriori risorse</w:t>
            </w:r>
            <w:r w:rsidRPr="007E364B">
              <w:rPr>
                <w:rFonts w:ascii="Bookman Old Style" w:hAnsi="Bookman Old Style"/>
                <w:i/>
                <w:color w:val="000000"/>
              </w:rPr>
              <w:t>, a valere sulle disponibilità del Fondo per lo sviluppo e la coesione nell’ambito della programmazione 2014-2020, al</w:t>
            </w:r>
            <w:r w:rsidR="00C82B53">
              <w:rPr>
                <w:rFonts w:ascii="Bookman Old Style" w:hAnsi="Bookman Old Style"/>
                <w:i/>
                <w:color w:val="000000"/>
              </w:rPr>
              <w:t xml:space="preserve"> </w:t>
            </w:r>
            <w:r w:rsidRPr="007E364B">
              <w:rPr>
                <w:rFonts w:ascii="Bookman Old Style" w:hAnsi="Bookman Old Style"/>
                <w:b/>
                <w:bCs/>
                <w:i/>
                <w:color w:val="000000"/>
              </w:rPr>
              <w:t xml:space="preserve">Programma straordinario di intervento </w:t>
            </w:r>
            <w:r w:rsidRPr="007E364B">
              <w:rPr>
                <w:rFonts w:ascii="Bookman Old Style" w:hAnsi="Bookman Old Style"/>
                <w:b/>
                <w:i/>
                <w:color w:val="000000"/>
              </w:rPr>
              <w:t xml:space="preserve">per la </w:t>
            </w:r>
            <w:r w:rsidRPr="007E364B">
              <w:rPr>
                <w:rFonts w:ascii="Bookman Old Style" w:hAnsi="Bookman Old Style"/>
                <w:b/>
                <w:bCs/>
                <w:i/>
                <w:color w:val="000000"/>
              </w:rPr>
              <w:t xml:space="preserve">riqualificazione urbana e la sicurezza delle periferie </w:t>
            </w:r>
            <w:r w:rsidRPr="007E364B">
              <w:rPr>
                <w:rFonts w:ascii="Bookman Old Style" w:hAnsi="Bookman Old Style"/>
                <w:b/>
                <w:i/>
                <w:color w:val="000000"/>
              </w:rPr>
              <w:t xml:space="preserve">delle città metropolitane e dei comuni capoluogo di provincia </w:t>
            </w:r>
            <w:r w:rsidRPr="007E364B">
              <w:rPr>
                <w:rFonts w:ascii="Bookman Old Style" w:hAnsi="Bookman Old Style"/>
                <w:i/>
                <w:color w:val="000000"/>
              </w:rPr>
              <w:t>di cui ai commi 974-978 della legge 208/2015 (legge di stabilità 2016) al fine di garantire il completo finanziamento dei progetti selezionati nell'ambito del Programma e ad integrazione delle risorse stanziate sull'apposito capitolo di spesa e di quelle assegnate ai sensi del comma 140.</w:t>
            </w:r>
          </w:p>
          <w:p w:rsidR="007E364B" w:rsidRPr="00C25018" w:rsidRDefault="007E364B" w:rsidP="00F07B8A">
            <w:pPr>
              <w:jc w:val="both"/>
              <w:rPr>
                <w:rFonts w:ascii="Bookman Old Style" w:hAnsi="Bookman Old Style"/>
                <w:i/>
              </w:rPr>
            </w:pPr>
          </w:p>
        </w:tc>
      </w:tr>
      <w:tr w:rsidR="008B5E19" w:rsidRPr="008B5E19" w:rsidTr="008B5E19">
        <w:trPr>
          <w:gridAfter w:val="1"/>
          <w:wAfter w:w="150" w:type="dxa"/>
        </w:trPr>
        <w:tc>
          <w:tcPr>
            <w:tcW w:w="14277" w:type="dxa"/>
            <w:gridSpan w:val="4"/>
          </w:tcPr>
          <w:p w:rsidR="005E1323" w:rsidRDefault="005E1323" w:rsidP="008B5E19">
            <w:pPr>
              <w:jc w:val="center"/>
              <w:rPr>
                <w:rFonts w:ascii="Bookman Old Style" w:hAnsi="Bookman Old Style"/>
                <w:b/>
                <w:bCs/>
                <w:i/>
                <w:iCs/>
                <w:color w:val="000000"/>
              </w:rPr>
            </w:pPr>
          </w:p>
          <w:p w:rsidR="008B5E19" w:rsidRPr="008B5E19" w:rsidRDefault="008B5E19" w:rsidP="008B5E19">
            <w:pPr>
              <w:jc w:val="center"/>
              <w:rPr>
                <w:rFonts w:ascii="Bookman Old Style" w:hAnsi="Bookman Old Style"/>
                <w:b/>
                <w:bCs/>
                <w:i/>
                <w:iCs/>
                <w:color w:val="000000"/>
              </w:rPr>
            </w:pPr>
            <w:r w:rsidRPr="008B5E19">
              <w:rPr>
                <w:rFonts w:ascii="Bookman Old Style" w:hAnsi="Bookman Old Style"/>
                <w:b/>
                <w:bCs/>
                <w:i/>
                <w:iCs/>
                <w:color w:val="000000"/>
              </w:rPr>
              <w:t>Finanziamento piste ciclabili</w:t>
            </w:r>
          </w:p>
        </w:tc>
      </w:tr>
      <w:tr w:rsidR="008B5E19" w:rsidTr="00481472">
        <w:trPr>
          <w:gridAfter w:val="1"/>
          <w:wAfter w:w="150" w:type="dxa"/>
        </w:trPr>
        <w:tc>
          <w:tcPr>
            <w:tcW w:w="7155" w:type="dxa"/>
            <w:gridSpan w:val="2"/>
          </w:tcPr>
          <w:p w:rsidR="008B5E19" w:rsidRPr="008B5E19" w:rsidRDefault="008B5E19" w:rsidP="008B5E19">
            <w:pPr>
              <w:autoSpaceDE w:val="0"/>
              <w:autoSpaceDN w:val="0"/>
              <w:adjustRightInd w:val="0"/>
              <w:jc w:val="both"/>
              <w:rPr>
                <w:rFonts w:ascii="Bookman Old Style" w:hAnsi="Bookman Old Style"/>
                <w:b/>
                <w:color w:val="231F20"/>
              </w:rPr>
            </w:pPr>
            <w:r w:rsidRPr="008B5E19">
              <w:rPr>
                <w:rFonts w:ascii="Bookman Old Style" w:hAnsi="Bookman Old Style" w:cs="TimesLTStd-Roman"/>
                <w:b/>
              </w:rPr>
              <w:t xml:space="preserve">144. Per lo sviluppo del sistema nazionale di </w:t>
            </w:r>
            <w:proofErr w:type="spellStart"/>
            <w:r w:rsidRPr="008B5E19">
              <w:rPr>
                <w:rFonts w:ascii="Bookman Old Style" w:hAnsi="Bookman Old Style" w:cs="TimesLTStd-Roman"/>
                <w:b/>
              </w:rPr>
              <w:t>ciclovie</w:t>
            </w:r>
            <w:proofErr w:type="spellEnd"/>
            <w:r w:rsidRPr="008B5E19">
              <w:rPr>
                <w:rFonts w:ascii="Bookman Old Style" w:hAnsi="Bookman Old Style" w:cs="TimesLTStd-Roman"/>
                <w:b/>
              </w:rPr>
              <w:t xml:space="preserve"> turistiche di cui all’articolo 1, comma 640, primo periodo, della legge 28 dicembre 2015, n. 208, è autorizzata l’ulteriore spesa di 13 milioni di euro per l’anno 2017, di 30 milioni di euro per l’anno 2018 e di 40 milioni di euro per ciascuno degli anni dal 2019 al 2024</w:t>
            </w:r>
          </w:p>
        </w:tc>
        <w:tc>
          <w:tcPr>
            <w:tcW w:w="7122" w:type="dxa"/>
            <w:gridSpan w:val="2"/>
          </w:tcPr>
          <w:p w:rsidR="008B5E19" w:rsidRPr="000525B4" w:rsidRDefault="008B5E19" w:rsidP="008B5E19">
            <w:pPr>
              <w:jc w:val="both"/>
              <w:rPr>
                <w:rFonts w:ascii="Bookman Old Style" w:hAnsi="Bookman Old Style"/>
                <w:bCs/>
                <w:i/>
                <w:iCs/>
                <w:color w:val="000000"/>
              </w:rPr>
            </w:pPr>
            <w:r w:rsidRPr="002C3F4B">
              <w:rPr>
                <w:rFonts w:ascii="Bookman Old Style" w:hAnsi="Bookman Old Style"/>
                <w:i/>
                <w:color w:val="000000"/>
                <w:shd w:val="clear" w:color="auto" w:fill="FFFFFF"/>
              </w:rPr>
              <w:t>Il</w:t>
            </w:r>
            <w:r w:rsidRPr="002C3F4B">
              <w:rPr>
                <w:rFonts w:ascii="Bookman Old Style" w:hAnsi="Bookman Old Style"/>
                <w:bCs/>
                <w:i/>
                <w:color w:val="000000"/>
                <w:shd w:val="clear" w:color="auto" w:fill="FFFFFF"/>
              </w:rPr>
              <w:t xml:space="preserve"> </w:t>
            </w:r>
            <w:r w:rsidRPr="002C3F4B">
              <w:rPr>
                <w:rFonts w:ascii="Bookman Old Style" w:hAnsi="Bookman Old Style"/>
                <w:b/>
                <w:bCs/>
                <w:i/>
                <w:color w:val="000000"/>
                <w:shd w:val="clear" w:color="auto" w:fill="FFFFFF"/>
              </w:rPr>
              <w:t>comma 144</w:t>
            </w:r>
            <w:r w:rsidRPr="002C3F4B">
              <w:rPr>
                <w:rFonts w:ascii="Bookman Old Style" w:hAnsi="Bookman Old Style"/>
                <w:bCs/>
                <w:i/>
                <w:color w:val="000000"/>
                <w:shd w:val="clear" w:color="auto" w:fill="FFFFFF"/>
              </w:rPr>
              <w:t xml:space="preserve"> </w:t>
            </w:r>
            <w:r w:rsidR="002C3F4B" w:rsidRPr="002C3F4B">
              <w:rPr>
                <w:rStyle w:val="apple-converted-space"/>
                <w:rFonts w:ascii="Bookman Old Style" w:hAnsi="Bookman Old Style"/>
                <w:i/>
                <w:color w:val="000000"/>
                <w:shd w:val="clear" w:color="auto" w:fill="FFFFFF"/>
              </w:rPr>
              <w:t> </w:t>
            </w:r>
            <w:r w:rsidR="002C3F4B" w:rsidRPr="002C3F4B">
              <w:rPr>
                <w:rFonts w:ascii="Bookman Old Style" w:hAnsi="Bookman Old Style"/>
                <w:i/>
                <w:color w:val="000000"/>
                <w:shd w:val="clear" w:color="auto" w:fill="FFFFFF"/>
              </w:rPr>
              <w:t>introdotto nel corso dell’esame alla Camera</w:t>
            </w:r>
            <w:r w:rsidR="002C3F4B" w:rsidRPr="002C3F4B">
              <w:rPr>
                <w:rFonts w:ascii="Verdana" w:hAnsi="Verdana"/>
                <w:i/>
                <w:color w:val="000000"/>
                <w:sz w:val="19"/>
                <w:szCs w:val="19"/>
                <w:shd w:val="clear" w:color="auto" w:fill="FFFFFF"/>
              </w:rPr>
              <w:t xml:space="preserve"> </w:t>
            </w:r>
            <w:r w:rsidRPr="002C3F4B">
              <w:rPr>
                <w:rFonts w:ascii="Bookman Old Style" w:hAnsi="Bookman Old Style"/>
                <w:bCs/>
                <w:i/>
                <w:color w:val="000000"/>
                <w:shd w:val="clear" w:color="auto" w:fill="FFFFFF"/>
              </w:rPr>
              <w:t>attribuisce</w:t>
            </w:r>
            <w:r w:rsidRPr="000525B4">
              <w:rPr>
                <w:rFonts w:ascii="Bookman Old Style" w:hAnsi="Bookman Old Style"/>
                <w:bCs/>
                <w:i/>
                <w:color w:val="000000"/>
                <w:shd w:val="clear" w:color="auto" w:fill="FFFFFF"/>
              </w:rPr>
              <w:t xml:space="preserve"> ulteriori risorse</w:t>
            </w:r>
            <w:r w:rsidRPr="000525B4">
              <w:rPr>
                <w:rStyle w:val="apple-converted-space"/>
                <w:rFonts w:ascii="Bookman Old Style" w:hAnsi="Bookman Old Style"/>
                <w:i/>
                <w:color w:val="000000"/>
                <w:shd w:val="clear" w:color="auto" w:fill="FFFFFF"/>
              </w:rPr>
              <w:t> </w:t>
            </w:r>
            <w:r w:rsidRPr="000525B4">
              <w:rPr>
                <w:rFonts w:ascii="Bookman Old Style" w:hAnsi="Bookman Old Style"/>
                <w:i/>
                <w:color w:val="000000"/>
                <w:shd w:val="clear" w:color="auto" w:fill="FFFFFF"/>
              </w:rPr>
              <w:t>per la progettazione e la realizzazione di un</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sistema nazionale di</w:t>
            </w:r>
            <w:r w:rsidRPr="000525B4">
              <w:rPr>
                <w:rStyle w:val="apple-converted-space"/>
                <w:rFonts w:ascii="Bookman Old Style" w:hAnsi="Bookman Old Style"/>
                <w:i/>
                <w:color w:val="000000"/>
                <w:shd w:val="clear" w:color="auto" w:fill="FFFFFF"/>
              </w:rPr>
              <w:t> </w:t>
            </w:r>
            <w:proofErr w:type="spellStart"/>
            <w:r w:rsidRPr="000525B4">
              <w:rPr>
                <w:rFonts w:ascii="Bookman Old Style" w:hAnsi="Bookman Old Style"/>
                <w:b/>
                <w:bCs/>
                <w:i/>
                <w:color w:val="000000"/>
                <w:shd w:val="clear" w:color="auto" w:fill="FFFFFF"/>
              </w:rPr>
              <w:t>ciclovie</w:t>
            </w:r>
            <w:proofErr w:type="spellEnd"/>
            <w:r w:rsidRPr="000525B4">
              <w:rPr>
                <w:rFonts w:ascii="Bookman Old Style" w:hAnsi="Bookman Old Style"/>
                <w:b/>
                <w:bCs/>
                <w:i/>
                <w:color w:val="000000"/>
                <w:shd w:val="clear" w:color="auto" w:fill="FFFFFF"/>
              </w:rPr>
              <w:t xml:space="preserve"> turistiche</w:t>
            </w:r>
            <w:r w:rsidRPr="000525B4">
              <w:rPr>
                <w:rFonts w:ascii="Bookman Old Style" w:hAnsi="Bookman Old Style"/>
                <w:i/>
                <w:color w:val="000000"/>
                <w:shd w:val="clear" w:color="auto" w:fill="FFFFFF"/>
              </w:rPr>
              <w:t>, nonché per la progettazione e la realizzazione di</w:t>
            </w:r>
            <w:r w:rsidRPr="000525B4">
              <w:rPr>
                <w:rStyle w:val="apple-converted-space"/>
                <w:rFonts w:ascii="Bookman Old Style" w:hAnsi="Bookman Old Style"/>
                <w:i/>
                <w:color w:val="000000"/>
                <w:shd w:val="clear" w:color="auto" w:fill="FFFFFF"/>
              </w:rPr>
              <w:t> </w:t>
            </w:r>
            <w:proofErr w:type="spellStart"/>
            <w:r w:rsidRPr="000525B4">
              <w:rPr>
                <w:rFonts w:ascii="Bookman Old Style" w:hAnsi="Bookman Old Style"/>
                <w:bCs/>
                <w:i/>
                <w:color w:val="000000"/>
                <w:shd w:val="clear" w:color="auto" w:fill="FFFFFF"/>
              </w:rPr>
              <w:t>ciclostazioni</w:t>
            </w:r>
            <w:proofErr w:type="spellEnd"/>
            <w:r w:rsidRPr="000525B4">
              <w:rPr>
                <w:rStyle w:val="apple-converted-space"/>
                <w:rFonts w:ascii="Bookman Old Style" w:hAnsi="Bookman Old Style"/>
                <w:i/>
                <w:color w:val="000000"/>
                <w:shd w:val="clear" w:color="auto" w:fill="FFFFFF"/>
              </w:rPr>
              <w:t> </w:t>
            </w:r>
            <w:r w:rsidRPr="000525B4">
              <w:rPr>
                <w:rFonts w:ascii="Bookman Old Style" w:hAnsi="Bookman Old Style"/>
                <w:i/>
                <w:color w:val="000000"/>
                <w:shd w:val="clear" w:color="auto" w:fill="FFFFFF"/>
              </w:rPr>
              <w:t>e di interventi concernenti la</w:t>
            </w:r>
            <w:r w:rsidRPr="000525B4">
              <w:rPr>
                <w:rStyle w:val="apple-converted-space"/>
                <w:rFonts w:ascii="Bookman Old Style" w:hAnsi="Bookman Old Style"/>
                <w:i/>
                <w:color w:val="000000"/>
                <w:shd w:val="clear" w:color="auto" w:fill="FFFFFF"/>
              </w:rPr>
              <w:t> </w:t>
            </w:r>
            <w:r w:rsidRPr="000525B4">
              <w:rPr>
                <w:rFonts w:ascii="Bookman Old Style" w:hAnsi="Bookman Old Style"/>
                <w:bCs/>
                <w:i/>
                <w:color w:val="000000"/>
                <w:shd w:val="clear" w:color="auto" w:fill="FFFFFF"/>
              </w:rPr>
              <w:t>sicurezza della circolazione ciclistica cittadina</w:t>
            </w:r>
            <w:r w:rsidRPr="000525B4">
              <w:rPr>
                <w:rFonts w:ascii="Bookman Old Style" w:hAnsi="Bookman Old Style"/>
                <w:i/>
                <w:color w:val="000000"/>
                <w:shd w:val="clear" w:color="auto" w:fill="FFFFFF"/>
              </w:rPr>
              <w:t>, ad integrazione di quanto stanziato ai sensi dell’articolo 1, comma 640, della legge n. 208 del 2015.</w:t>
            </w:r>
            <w:r w:rsidRPr="000525B4">
              <w:rPr>
                <w:rStyle w:val="apple-converted-space"/>
                <w:rFonts w:ascii="Bookman Old Style" w:hAnsi="Bookman Old Style"/>
                <w:i/>
                <w:color w:val="000000"/>
                <w:shd w:val="clear" w:color="auto" w:fill="FFFFFF"/>
              </w:rPr>
              <w:t> </w:t>
            </w:r>
          </w:p>
        </w:tc>
      </w:tr>
      <w:tr w:rsidR="00843848" w:rsidTr="008856E3">
        <w:trPr>
          <w:gridAfter w:val="1"/>
          <w:wAfter w:w="150" w:type="dxa"/>
        </w:trPr>
        <w:tc>
          <w:tcPr>
            <w:tcW w:w="14277" w:type="dxa"/>
            <w:gridSpan w:val="4"/>
          </w:tcPr>
          <w:p w:rsidR="005E1323" w:rsidRDefault="005E1323" w:rsidP="008856E3">
            <w:pPr>
              <w:jc w:val="center"/>
              <w:rPr>
                <w:rFonts w:ascii="Bookman Old Style" w:hAnsi="Bookman Old Style"/>
                <w:b/>
                <w:bCs/>
                <w:i/>
                <w:color w:val="000000"/>
              </w:rPr>
            </w:pPr>
          </w:p>
          <w:p w:rsidR="00843848" w:rsidRPr="000778A2" w:rsidRDefault="00843848" w:rsidP="008856E3">
            <w:pPr>
              <w:jc w:val="center"/>
              <w:rPr>
                <w:rFonts w:ascii="Bookman Old Style" w:hAnsi="Bookman Old Style"/>
                <w:b/>
                <w:i/>
                <w:color w:val="000000"/>
              </w:rPr>
            </w:pPr>
            <w:r>
              <w:rPr>
                <w:rFonts w:ascii="Bookman Old Style" w:hAnsi="Bookman Old Style"/>
                <w:b/>
                <w:bCs/>
                <w:i/>
                <w:color w:val="000000"/>
              </w:rPr>
              <w:t>Fondo pari opportunità</w:t>
            </w:r>
          </w:p>
        </w:tc>
      </w:tr>
      <w:tr w:rsidR="00843848" w:rsidRPr="00843848" w:rsidTr="008856E3">
        <w:trPr>
          <w:gridAfter w:val="1"/>
          <w:wAfter w:w="150" w:type="dxa"/>
        </w:trPr>
        <w:tc>
          <w:tcPr>
            <w:tcW w:w="7155" w:type="dxa"/>
            <w:gridSpan w:val="2"/>
          </w:tcPr>
          <w:p w:rsidR="00843848" w:rsidRPr="009E75EA" w:rsidRDefault="00843848" w:rsidP="009E75EA">
            <w:pPr>
              <w:shd w:val="clear" w:color="auto" w:fill="FFFFFF"/>
              <w:jc w:val="both"/>
              <w:rPr>
                <w:rFonts w:ascii="Bookman Old Style" w:hAnsi="Bookman Old Style"/>
                <w:b/>
                <w:bCs/>
                <w:color w:val="000000"/>
              </w:rPr>
            </w:pPr>
            <w:r w:rsidRPr="009E75EA">
              <w:rPr>
                <w:rFonts w:ascii="Bookman Old Style" w:hAnsi="Bookman Old Style"/>
                <w:b/>
                <w:color w:val="231F20"/>
              </w:rPr>
              <w:t>359. Al fine di sostenere le attività di assistenza e sostegno alle donne vittime di violenza e ai loro figli, di cui all’articolo</w:t>
            </w:r>
            <w:r w:rsidR="009E75EA">
              <w:rPr>
                <w:rFonts w:ascii="Bookman Old Style" w:hAnsi="Bookman Old Style"/>
                <w:b/>
                <w:color w:val="231F20"/>
              </w:rPr>
              <w:t xml:space="preserve"> </w:t>
            </w:r>
            <w:r w:rsidRPr="009E75EA">
              <w:rPr>
                <w:rFonts w:ascii="Bookman Old Style" w:hAnsi="Bookman Old Style"/>
                <w:b/>
                <w:color w:val="231F20"/>
              </w:rPr>
              <w:t xml:space="preserve">5, comma 2, lettera </w:t>
            </w:r>
            <w:r w:rsidRPr="009E75EA">
              <w:rPr>
                <w:rFonts w:ascii="Bookman Old Style" w:hAnsi="Bookman Old Style"/>
                <w:b/>
                <w:i/>
                <w:iCs/>
                <w:color w:val="231F20"/>
              </w:rPr>
              <w:t>d)</w:t>
            </w:r>
            <w:r w:rsidRPr="009E75EA">
              <w:rPr>
                <w:rFonts w:ascii="Bookman Old Style" w:hAnsi="Bookman Old Style"/>
                <w:b/>
                <w:color w:val="231F20"/>
              </w:rPr>
              <w:t>, del decreto-legge 14 agosto 2013, n. 93, convertito, con modificazioni, dalla legge 15 ottobre 2013, n. 119, sono destinati a favore del Piano d’azione straordinario contro la violenza sessuale e di genere, dei servizi territoriali, dei centri antiviolenza e dei servizi di assistenza alle donne vittime di violenza, di cui agli articoli 5 e 5-</w:t>
            </w:r>
            <w:r w:rsidRPr="009E75EA">
              <w:rPr>
                <w:rFonts w:ascii="Bookman Old Style" w:hAnsi="Bookman Old Style"/>
                <w:b/>
                <w:i/>
                <w:iCs/>
                <w:color w:val="231F20"/>
              </w:rPr>
              <w:t xml:space="preserve">bis </w:t>
            </w:r>
            <w:r w:rsidRPr="009E75EA">
              <w:rPr>
                <w:rFonts w:ascii="Bookman Old Style" w:hAnsi="Bookman Old Style"/>
                <w:b/>
                <w:color w:val="231F20"/>
              </w:rPr>
              <w:t xml:space="preserve">del medesimo decreto-legge n. 93 del 2013, 5 milioni di euro per ciascuno degli anni 2017, 2018 e 2019, a valere sulle risorse del Fondo per le politiche relative ai diritti e alle pari opportunità. A tal fine la </w:t>
            </w:r>
            <w:r w:rsidRPr="009E75EA">
              <w:rPr>
                <w:rFonts w:ascii="Bookman Old Style" w:hAnsi="Bookman Old Style"/>
                <w:b/>
                <w:color w:val="231F20"/>
              </w:rPr>
              <w:lastRenderedPageBreak/>
              <w:t>dotazione del Fondo di cui al periodo precedente è incrementata di 5 milioni di euro per ciascuno degli anni 2017, 2018 e 2019.</w:t>
            </w:r>
          </w:p>
        </w:tc>
        <w:tc>
          <w:tcPr>
            <w:tcW w:w="7122" w:type="dxa"/>
            <w:gridSpan w:val="2"/>
          </w:tcPr>
          <w:p w:rsidR="00843848" w:rsidRPr="00843848" w:rsidRDefault="000525B4" w:rsidP="00843848">
            <w:pPr>
              <w:jc w:val="both"/>
              <w:rPr>
                <w:rFonts w:ascii="Bookman Old Style" w:hAnsi="Bookman Old Style"/>
                <w:i/>
                <w:color w:val="000000"/>
              </w:rPr>
            </w:pPr>
            <w:r>
              <w:rPr>
                <w:rFonts w:ascii="Bookman Old Style" w:hAnsi="Bookman Old Style"/>
                <w:i/>
                <w:color w:val="000000"/>
              </w:rPr>
              <w:lastRenderedPageBreak/>
              <w:t xml:space="preserve">Il </w:t>
            </w:r>
            <w:r w:rsidRPr="000525B4">
              <w:rPr>
                <w:rFonts w:ascii="Bookman Old Style" w:hAnsi="Bookman Old Style"/>
                <w:b/>
                <w:i/>
                <w:color w:val="000000"/>
              </w:rPr>
              <w:t>comma  359</w:t>
            </w:r>
            <w:r w:rsidR="009E75EA">
              <w:rPr>
                <w:rFonts w:ascii="Bookman Old Style" w:hAnsi="Bookman Old Style"/>
                <w:i/>
                <w:color w:val="000000"/>
              </w:rPr>
              <w:t xml:space="preserve"> f</w:t>
            </w:r>
            <w:r w:rsidR="00843848" w:rsidRPr="00843848">
              <w:rPr>
                <w:rFonts w:ascii="Bookman Old Style" w:hAnsi="Bookman Old Style"/>
                <w:i/>
                <w:color w:val="000000"/>
              </w:rPr>
              <w:t xml:space="preserve">inanzia il </w:t>
            </w:r>
            <w:r w:rsidR="00843848" w:rsidRPr="00843848">
              <w:rPr>
                <w:rFonts w:ascii="Bookman Old Style" w:hAnsi="Bookman Old Style"/>
                <w:bCs/>
                <w:i/>
                <w:color w:val="000000"/>
              </w:rPr>
              <w:t xml:space="preserve">Fondo per le pari opportunità </w:t>
            </w:r>
            <w:r w:rsidR="00843848" w:rsidRPr="00843848">
              <w:rPr>
                <w:rFonts w:ascii="Bookman Old Style" w:hAnsi="Bookman Old Style"/>
                <w:i/>
                <w:color w:val="000000"/>
              </w:rPr>
              <w:t xml:space="preserve">con 5 </w:t>
            </w:r>
            <w:proofErr w:type="spellStart"/>
            <w:r w:rsidR="00843848" w:rsidRPr="00843848">
              <w:rPr>
                <w:rFonts w:ascii="Bookman Old Style" w:hAnsi="Bookman Old Style"/>
                <w:i/>
                <w:color w:val="000000"/>
              </w:rPr>
              <w:t>mln</w:t>
            </w:r>
            <w:proofErr w:type="spellEnd"/>
            <w:r w:rsidR="00843848" w:rsidRPr="00843848">
              <w:rPr>
                <w:rFonts w:ascii="Bookman Old Style" w:hAnsi="Bookman Old Style"/>
                <w:i/>
                <w:color w:val="000000"/>
              </w:rPr>
              <w:t xml:space="preserve"> di euro</w:t>
            </w:r>
            <w:r w:rsidR="009E75EA">
              <w:rPr>
                <w:rFonts w:ascii="Bookman Old Style" w:hAnsi="Bookman Old Style"/>
                <w:i/>
                <w:color w:val="000000"/>
              </w:rPr>
              <w:t xml:space="preserve"> </w:t>
            </w:r>
            <w:r w:rsidR="00843848" w:rsidRPr="00843848">
              <w:rPr>
                <w:rFonts w:ascii="Bookman Old Style" w:hAnsi="Bookman Old Style"/>
                <w:i/>
                <w:color w:val="000000"/>
              </w:rPr>
              <w:t>all’anno, nel triennio 2017-2019. (Violenza contro le donne)</w:t>
            </w:r>
          </w:p>
          <w:p w:rsidR="00843848" w:rsidRPr="00843848" w:rsidRDefault="00843848" w:rsidP="008856E3">
            <w:pPr>
              <w:jc w:val="both"/>
              <w:rPr>
                <w:rFonts w:ascii="Bookman Old Style" w:hAnsi="Bookman Old Style"/>
                <w:b/>
                <w:i/>
                <w:color w:val="000000"/>
              </w:rPr>
            </w:pPr>
          </w:p>
        </w:tc>
      </w:tr>
      <w:tr w:rsidR="00F07B8A" w:rsidTr="00481472">
        <w:trPr>
          <w:gridAfter w:val="1"/>
          <w:wAfter w:w="150" w:type="dxa"/>
        </w:trPr>
        <w:tc>
          <w:tcPr>
            <w:tcW w:w="14277" w:type="dxa"/>
            <w:gridSpan w:val="4"/>
          </w:tcPr>
          <w:p w:rsidR="00F07B8A" w:rsidRPr="000778A2" w:rsidRDefault="00F07B8A" w:rsidP="00F07B8A">
            <w:pPr>
              <w:jc w:val="center"/>
              <w:rPr>
                <w:rFonts w:ascii="Bookman Old Style" w:hAnsi="Bookman Old Style"/>
                <w:b/>
                <w:bCs/>
                <w:i/>
                <w:color w:val="000000"/>
              </w:rPr>
            </w:pPr>
            <w:r w:rsidRPr="000778A2">
              <w:rPr>
                <w:rFonts w:ascii="Bookman Old Style" w:hAnsi="Bookman Old Style"/>
                <w:b/>
                <w:bCs/>
                <w:i/>
                <w:color w:val="000000"/>
              </w:rPr>
              <w:lastRenderedPageBreak/>
              <w:t>MISURE PER L’EMERGENZA SISMICA</w:t>
            </w:r>
          </w:p>
          <w:p w:rsidR="00F07B8A" w:rsidRPr="000778A2" w:rsidRDefault="00F07B8A" w:rsidP="00F07B8A">
            <w:pPr>
              <w:jc w:val="center"/>
              <w:rPr>
                <w:rFonts w:ascii="Bookman Old Style" w:hAnsi="Bookman Old Style"/>
                <w:b/>
                <w:i/>
                <w:color w:val="000000"/>
              </w:rPr>
            </w:pPr>
            <w:r w:rsidRPr="000778A2">
              <w:rPr>
                <w:rFonts w:ascii="Bookman Old Style" w:eastAsia="Times New Roman" w:hAnsi="Bookman Old Style" w:cs="Arial"/>
                <w:b/>
                <w:i/>
                <w:iCs/>
                <w:lang w:eastAsia="it-IT"/>
              </w:rPr>
              <w:t>Ri</w:t>
            </w:r>
            <w:r>
              <w:rPr>
                <w:rFonts w:ascii="Bookman Old Style" w:eastAsia="Times New Roman" w:hAnsi="Bookman Old Style" w:cs="Arial"/>
                <w:b/>
                <w:i/>
                <w:iCs/>
                <w:lang w:eastAsia="it-IT"/>
              </w:rPr>
              <w:t>costruzione privata e pubblica</w:t>
            </w:r>
          </w:p>
        </w:tc>
      </w:tr>
      <w:tr w:rsidR="00F07B8A" w:rsidTr="00481472">
        <w:trPr>
          <w:gridAfter w:val="1"/>
          <w:wAfter w:w="150" w:type="dxa"/>
        </w:trPr>
        <w:tc>
          <w:tcPr>
            <w:tcW w:w="7155" w:type="dxa"/>
            <w:gridSpan w:val="2"/>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362</w:t>
            </w:r>
            <w:r w:rsidRPr="00E847D3">
              <w:rPr>
                <w:rFonts w:ascii="Bookman Old Style" w:eastAsia="Times New Roman" w:hAnsi="Bookman Old Style" w:cs="Arial"/>
                <w:lang w:eastAsia="it-IT"/>
              </w:rPr>
              <w:t>. In relazione agli interventi per la riparazione, la ricostruzione, l'assistenza alla popolazione e la ripresa economica nei territori interessati dagli eventi sismici del 24 agosto 2016:</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p>
          <w:p w:rsidR="00F07B8A"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è autorizzata la spesa di 100 milioni di euro per l'anno 2017 e 200 milioni di euro annui dall'anno 2018 all'anno 2047, per la concessione del credito d'imposta maturato in relazione all'accesso ai finanziamenti agevolati, di durata venticinquennale, per la ricostruzione privata di cui all'</w:t>
            </w:r>
            <w:hyperlink r:id="rId11" w:anchor="art5" w:tgtFrame="rifNormativi" w:history="1">
              <w:r w:rsidRPr="00CF63B8">
                <w:rPr>
                  <w:rFonts w:ascii="Bookman Old Style" w:eastAsia="Times New Roman" w:hAnsi="Bookman Old Style" w:cs="Arial"/>
                  <w:lang w:eastAsia="it-IT"/>
                </w:rPr>
                <w:t>articolo 5 del decreto-legge 17 ottobre 2016, n. 189</w:t>
              </w:r>
            </w:hyperlink>
            <w:r w:rsidRPr="00E847D3">
              <w:rPr>
                <w:rFonts w:ascii="Bookman Old Style" w:eastAsia="Times New Roman" w:hAnsi="Bookman Old Style" w:cs="Arial"/>
                <w:lang w:eastAsia="it-IT"/>
              </w:rPr>
              <w:t>;</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FA3F09" w:rsidRDefault="00F07B8A" w:rsidP="00F07B8A">
            <w:pPr>
              <w:shd w:val="clear" w:color="auto" w:fill="FFFFFF"/>
              <w:jc w:val="both"/>
              <w:rPr>
                <w:rFonts w:ascii="Bookman Old Style" w:hAnsi="Bookman Old Style"/>
                <w:b/>
                <w:bCs/>
                <w:color w:val="000000"/>
              </w:rPr>
            </w:pPr>
            <w:r>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è autorizzata la spesa di 200 milioni di euro per l'anno 2017, di 300 milioni di euro per l'anno 2018, di 350 milioni di euro per l'anno 2019 e di 150 milioni di euro per l'anno 2020 per la concessione dei contributi di cui all'</w:t>
            </w:r>
            <w:hyperlink r:id="rId12" w:anchor="art14" w:tgtFrame="rifNormativi" w:history="1">
              <w:r w:rsidRPr="00CF63B8">
                <w:rPr>
                  <w:rFonts w:ascii="Bookman Old Style" w:eastAsia="Times New Roman" w:hAnsi="Bookman Old Style" w:cs="Arial"/>
                  <w:lang w:eastAsia="it-IT"/>
                </w:rPr>
                <w:t>articolo 14 del decreto-legge del 17 ottobre 2016, n. 189</w:t>
              </w:r>
            </w:hyperlink>
            <w:r w:rsidRPr="00E847D3">
              <w:rPr>
                <w:rFonts w:ascii="Bookman Old Style" w:eastAsia="Times New Roman" w:hAnsi="Bookman Old Style" w:cs="Arial"/>
                <w:lang w:eastAsia="it-IT"/>
              </w:rPr>
              <w:t>.</w:t>
            </w:r>
          </w:p>
        </w:tc>
        <w:tc>
          <w:tcPr>
            <w:tcW w:w="7122" w:type="dxa"/>
            <w:gridSpan w:val="2"/>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La disposizione di cui al </w:t>
            </w:r>
            <w:r w:rsidRPr="000778A2">
              <w:rPr>
                <w:rFonts w:ascii="Bookman Old Style" w:hAnsi="Bookman Old Style"/>
                <w:b/>
                <w:i/>
                <w:color w:val="000000"/>
              </w:rPr>
              <w:t xml:space="preserve">comma 362 </w:t>
            </w:r>
            <w:r w:rsidRPr="0009359B">
              <w:rPr>
                <w:rFonts w:ascii="Bookman Old Style" w:hAnsi="Bookman Old Style"/>
                <w:i/>
                <w:color w:val="000000"/>
              </w:rPr>
              <w:t>riguarda interventi</w:t>
            </w:r>
            <w:r>
              <w:rPr>
                <w:rFonts w:ascii="Bookman Old Style" w:hAnsi="Bookman Old Style"/>
                <w:b/>
                <w:i/>
                <w:color w:val="000000"/>
              </w:rPr>
              <w:t xml:space="preserve"> </w:t>
            </w:r>
            <w:r w:rsidRPr="000778A2">
              <w:rPr>
                <w:rFonts w:ascii="Bookman Old Style" w:hAnsi="Bookman Old Style"/>
                <w:i/>
                <w:color w:val="000000"/>
              </w:rPr>
              <w:t>per la riparazione, la ricostruzione, l’assistenza alla popolazione e la ripresa economica nei territori interessati dagli eventi sismici del 24 agosto 2016</w:t>
            </w:r>
            <w:r>
              <w:rPr>
                <w:rFonts w:ascii="Bookman Old Style" w:hAnsi="Bookman Old Style"/>
                <w:i/>
                <w:color w:val="000000"/>
              </w:rPr>
              <w:t>:</w:t>
            </w:r>
            <w:r w:rsidRPr="000778A2">
              <w:rPr>
                <w:rFonts w:ascii="Bookman Old Style" w:hAnsi="Bookman Old Style"/>
                <w:i/>
                <w:color w:val="000000"/>
              </w:rPr>
              <w:t xml:space="preserve"> </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a) </w:t>
            </w:r>
            <w:r>
              <w:rPr>
                <w:rFonts w:ascii="Bookman Old Style" w:hAnsi="Bookman Old Style"/>
                <w:i/>
                <w:color w:val="000000"/>
              </w:rPr>
              <w:t xml:space="preserve">la lettera a) destina </w:t>
            </w:r>
            <w:r w:rsidRPr="000778A2">
              <w:rPr>
                <w:rFonts w:ascii="Bookman Old Style" w:hAnsi="Bookman Old Style"/>
                <w:i/>
                <w:color w:val="000000"/>
              </w:rPr>
              <w:t xml:space="preserve">100 milioni di euro per l’anno 2017 e 200 milioni di euro annui dall’anno 2018 all’anno 2047, per la concessione del credito d’imposta maturato in relazione all’accesso ai finanziamenti agevolati, di durata venticinquennale, per la ricostruzione privata di cui all’articolo 5 del decreto-legge 17 ottobre 2016, n. 189; </w:t>
            </w:r>
          </w:p>
          <w:p w:rsidR="00F07B8A" w:rsidRPr="000778A2" w:rsidRDefault="00F07B8A" w:rsidP="00F07B8A">
            <w:pPr>
              <w:jc w:val="both"/>
              <w:rPr>
                <w:rFonts w:ascii="Bookman Old Style" w:hAnsi="Bookman Old Style"/>
                <w:i/>
                <w:color w:val="000000"/>
              </w:rPr>
            </w:pPr>
          </w:p>
          <w:p w:rsidR="00F07B8A" w:rsidRPr="000778A2" w:rsidRDefault="00F07B8A" w:rsidP="00F07B8A">
            <w:pPr>
              <w:jc w:val="both"/>
              <w:rPr>
                <w:rFonts w:ascii="Bookman Old Style" w:hAnsi="Bookman Old Style"/>
                <w:b/>
                <w:i/>
                <w:color w:val="000000"/>
              </w:rPr>
            </w:pPr>
            <w:r w:rsidRPr="000778A2">
              <w:rPr>
                <w:rFonts w:ascii="Bookman Old Style" w:hAnsi="Bookman Old Style"/>
                <w:i/>
                <w:color w:val="000000"/>
              </w:rPr>
              <w:t xml:space="preserve">b) </w:t>
            </w:r>
            <w:r>
              <w:rPr>
                <w:rFonts w:ascii="Bookman Old Style" w:hAnsi="Bookman Old Style"/>
                <w:i/>
                <w:color w:val="000000"/>
              </w:rPr>
              <w:t xml:space="preserve">si destinano </w:t>
            </w:r>
            <w:r w:rsidRPr="000778A2">
              <w:rPr>
                <w:rFonts w:ascii="Bookman Old Style" w:hAnsi="Bookman Old Style"/>
                <w:i/>
                <w:color w:val="000000"/>
              </w:rPr>
              <w:t>200 milioni di euro per l’anno 2017, 300 milioni per l’anno 2018, 350 milioni per l’anno 2019 e 150 milioni di euro per l’anno 2020 per la concessione dei contributi di cui all’articolo 14 del decreto-legge del 17 ottobre 2016, n. 189, ossia relativamente alla ricostruzione privata.</w:t>
            </w:r>
          </w:p>
        </w:tc>
      </w:tr>
      <w:tr w:rsidR="00F07B8A" w:rsidTr="00481472">
        <w:trPr>
          <w:gridAfter w:val="1"/>
          <w:wAfter w:w="150" w:type="dxa"/>
        </w:trPr>
        <w:tc>
          <w:tcPr>
            <w:tcW w:w="7155" w:type="dxa"/>
            <w:gridSpan w:val="2"/>
          </w:tcPr>
          <w:p w:rsidR="00F07B8A" w:rsidRPr="00F561DD" w:rsidRDefault="00F07B8A" w:rsidP="00F07B8A">
            <w:pPr>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t>363</w:t>
            </w:r>
            <w:r w:rsidRPr="00E847D3">
              <w:rPr>
                <w:rFonts w:ascii="Bookman Old Style" w:eastAsia="Times New Roman" w:hAnsi="Bookman Old Style" w:cs="Arial"/>
                <w:lang w:eastAsia="it-IT"/>
              </w:rPr>
              <w:t>. Le regioni colpite, in coerenza con la programmazione del Commissario per la ricostruzione dei territori interessati dall'evento sismico del 24 agosto 2016 nominato con</w:t>
            </w:r>
            <w:r w:rsidRPr="00CF63B8">
              <w:rPr>
                <w:rFonts w:ascii="Bookman Old Style" w:eastAsia="Times New Roman" w:hAnsi="Bookman Old Style" w:cs="Arial"/>
                <w:lang w:eastAsia="it-IT"/>
              </w:rPr>
              <w:t> </w:t>
            </w:r>
            <w:hyperlink r:id="rId13" w:tgtFrame="rifNormativi" w:history="1">
              <w:r w:rsidRPr="00CF63B8">
                <w:rPr>
                  <w:rFonts w:ascii="Bookman Old Style" w:eastAsia="Times New Roman" w:hAnsi="Bookman Old Style" w:cs="Arial"/>
                  <w:lang w:eastAsia="it-IT"/>
                </w:rPr>
                <w:t>decreto del Presidente della Repubblica 9 settembre 2016</w:t>
              </w:r>
            </w:hyperlink>
            <w:r w:rsidRPr="00E847D3">
              <w:rPr>
                <w:rFonts w:ascii="Bookman Old Style" w:eastAsia="Times New Roman" w:hAnsi="Bookman Old Style" w:cs="Arial"/>
                <w:lang w:eastAsia="it-IT"/>
              </w:rPr>
              <w:t>, di cui al comunicato pubblicato nella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Gazzetta Ufficiale</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 228 del 29 settembre 2016, possono destinare, nell'ambito dei pertinenti programmi operativi cofinanziati dai fondi</w:t>
            </w:r>
            <w:r>
              <w:rPr>
                <w:rFonts w:ascii="Bookman Old Style" w:eastAsia="Times New Roman" w:hAnsi="Bookman Old Style" w:cs="Arial"/>
                <w:lang w:eastAsia="it-IT"/>
              </w:rPr>
              <w:t xml:space="preserve"> </w:t>
            </w:r>
            <w:r w:rsidRPr="00CF63B8">
              <w:rPr>
                <w:rFonts w:ascii="Bookman Old Style" w:eastAsia="Times New Roman" w:hAnsi="Bookman Old Style" w:cs="Arial"/>
                <w:shd w:val="clear" w:color="auto" w:fill="FFFFFF"/>
                <w:lang w:eastAsia="it-IT"/>
              </w:rPr>
              <w:t xml:space="preserve">strutturali e di investimento europei 2014/2020 e per il conseguimento delle finalità dagli stessi previste, ulteriori risorse, incluso il cofinanziamento nazionale, per un importo pari a 300 milioni di euro, anche a valere su quelle aggiuntive destinate dall'Unione europea all'Italia ai sensi dell'articolo 92, paragrafo 3, del regolamento (UE) n. 1303/2013 del Parlamento europeo e del </w:t>
            </w:r>
            <w:r w:rsidRPr="00CF63B8">
              <w:rPr>
                <w:rFonts w:ascii="Bookman Old Style" w:eastAsia="Times New Roman" w:hAnsi="Bookman Old Style" w:cs="Arial"/>
                <w:shd w:val="clear" w:color="auto" w:fill="FFFFFF"/>
                <w:lang w:eastAsia="it-IT"/>
              </w:rPr>
              <w:lastRenderedPageBreak/>
              <w:t>Consiglio, del 17 dicembre 2013.</w:t>
            </w:r>
          </w:p>
        </w:tc>
        <w:tc>
          <w:tcPr>
            <w:tcW w:w="7122" w:type="dxa"/>
            <w:gridSpan w:val="2"/>
          </w:tcPr>
          <w:p w:rsidR="00F07B8A" w:rsidRPr="000778A2" w:rsidRDefault="00F07B8A" w:rsidP="00F07B8A">
            <w:pPr>
              <w:jc w:val="both"/>
              <w:rPr>
                <w:rFonts w:ascii="Bookman Old Style" w:hAnsi="Bookman Old Style"/>
                <w:b/>
                <w:i/>
                <w:color w:val="000000"/>
              </w:rPr>
            </w:pPr>
            <w:r w:rsidRPr="000778A2">
              <w:rPr>
                <w:rFonts w:ascii="Bookman Old Style" w:hAnsi="Bookman Old Style"/>
                <w:i/>
                <w:color w:val="000000"/>
              </w:rPr>
              <w:lastRenderedPageBreak/>
              <w:t>Il</w:t>
            </w:r>
            <w:r w:rsidRPr="000778A2">
              <w:rPr>
                <w:rFonts w:ascii="Bookman Old Style" w:hAnsi="Bookman Old Style"/>
                <w:b/>
                <w:i/>
                <w:color w:val="000000"/>
              </w:rPr>
              <w:t xml:space="preserve"> comma 363</w:t>
            </w:r>
            <w:r>
              <w:rPr>
                <w:rFonts w:ascii="Bookman Old Style" w:hAnsi="Bookman Old Style"/>
                <w:b/>
                <w:i/>
                <w:color w:val="000000"/>
              </w:rPr>
              <w:t xml:space="preserve"> </w:t>
            </w:r>
            <w:r w:rsidRPr="000778A2">
              <w:rPr>
                <w:rFonts w:ascii="Bookman Old Style" w:hAnsi="Bookman Old Style"/>
                <w:i/>
                <w:color w:val="000000"/>
              </w:rPr>
              <w:t>prevede che le Regioni colpite</w:t>
            </w:r>
            <w:r>
              <w:rPr>
                <w:rFonts w:ascii="Bookman Old Style" w:hAnsi="Bookman Old Style"/>
                <w:i/>
                <w:color w:val="000000"/>
              </w:rPr>
              <w:t xml:space="preserve"> </w:t>
            </w:r>
            <w:r w:rsidRPr="000778A2">
              <w:rPr>
                <w:rFonts w:ascii="Bookman Old Style" w:hAnsi="Bookman Old Style"/>
                <w:i/>
                <w:color w:val="000000"/>
              </w:rPr>
              <w:t>possono destinare, nell’ambito dei pertinenti programmi operativi cofinanziati dai fondi strutturali 2014/2020 e per le relative finalità, ulteriori risorse, incluso il cofinanziamento nazionale, per un importo pari a 300 milioni di euro, anche a valere su quelle aggiuntive destinate dall’Unione Europea all’Italia attraverso i fondi strutturali comunitari.</w:t>
            </w:r>
          </w:p>
        </w:tc>
      </w:tr>
      <w:tr w:rsidR="00A40558" w:rsidTr="008856E3">
        <w:trPr>
          <w:gridAfter w:val="1"/>
          <w:wAfter w:w="150" w:type="dxa"/>
        </w:trPr>
        <w:tc>
          <w:tcPr>
            <w:tcW w:w="14277" w:type="dxa"/>
            <w:gridSpan w:val="4"/>
          </w:tcPr>
          <w:p w:rsidR="005E1323" w:rsidRDefault="005E1323" w:rsidP="00A40558">
            <w:pPr>
              <w:jc w:val="center"/>
              <w:rPr>
                <w:rFonts w:ascii="Bookman Old Style" w:hAnsi="Bookman Old Style"/>
                <w:b/>
                <w:i/>
                <w:color w:val="000000"/>
              </w:rPr>
            </w:pPr>
          </w:p>
          <w:p w:rsidR="00A40558" w:rsidRPr="00A40558" w:rsidRDefault="00A40558" w:rsidP="00A40558">
            <w:pPr>
              <w:jc w:val="center"/>
              <w:rPr>
                <w:rFonts w:ascii="Bookman Old Style" w:hAnsi="Bookman Old Style"/>
                <w:b/>
                <w:i/>
                <w:color w:val="000000"/>
              </w:rPr>
            </w:pPr>
            <w:r w:rsidRPr="00A40558">
              <w:rPr>
                <w:rFonts w:ascii="Bookman Old Style" w:hAnsi="Bookman Old Style"/>
                <w:b/>
                <w:i/>
                <w:color w:val="000000"/>
              </w:rPr>
              <w:t>Graduatorie concorsi pubblici</w:t>
            </w:r>
          </w:p>
        </w:tc>
      </w:tr>
      <w:tr w:rsidR="00A40558" w:rsidRPr="00A40558" w:rsidTr="00481472">
        <w:trPr>
          <w:gridAfter w:val="1"/>
          <w:wAfter w:w="150" w:type="dxa"/>
        </w:trPr>
        <w:tc>
          <w:tcPr>
            <w:tcW w:w="7155" w:type="dxa"/>
            <w:gridSpan w:val="2"/>
          </w:tcPr>
          <w:p w:rsidR="00A40558" w:rsidRPr="00F95E70" w:rsidRDefault="00A40558" w:rsidP="00F95E70">
            <w:pPr>
              <w:jc w:val="both"/>
              <w:rPr>
                <w:rFonts w:ascii="Bookman Old Style" w:eastAsia="Times New Roman" w:hAnsi="Bookman Old Style" w:cs="Arial"/>
                <w:b/>
                <w:lang w:eastAsia="it-IT"/>
              </w:rPr>
            </w:pPr>
            <w:r w:rsidRPr="00F95E70">
              <w:rPr>
                <w:rFonts w:ascii="Bookman Old Style" w:hAnsi="Bookman Old Style"/>
                <w:b/>
                <w:color w:val="231F20"/>
              </w:rPr>
              <w:t>368. All’articolo 4, comma 4, del decreto legge 31 agosto 2013, n. 101, convertito, con modificazioni, dalla legge 30 ottobre 2013, n. 125, la parola: «2016» è sostituita dalla</w:t>
            </w:r>
            <w:r w:rsidRPr="00F95E70">
              <w:rPr>
                <w:rFonts w:ascii="Bookman Old Style" w:hAnsi="Bookman Old Style"/>
                <w:b/>
                <w:color w:val="231F20"/>
              </w:rPr>
              <w:br/>
              <w:t>seguente: «2017». Sono altresì prorogate,</w:t>
            </w:r>
            <w:r w:rsidRPr="00F95E70">
              <w:rPr>
                <w:rFonts w:ascii="Bookman Old Style" w:hAnsi="Bookman Old Style"/>
                <w:b/>
                <w:color w:val="231F20"/>
              </w:rPr>
              <w:br/>
              <w:t>fino al 31 dicembre 2017, le graduatorie vigenti del personale dei corpi di cui all’articolo 66, comma 9-</w:t>
            </w:r>
            <w:r w:rsidRPr="00F95E70">
              <w:rPr>
                <w:rFonts w:ascii="Bookman Old Style" w:hAnsi="Bookman Old Style"/>
                <w:b/>
                <w:i/>
                <w:iCs/>
                <w:color w:val="231F20"/>
              </w:rPr>
              <w:t>bis</w:t>
            </w:r>
            <w:r w:rsidRPr="00F95E70">
              <w:rPr>
                <w:rFonts w:ascii="Bookman Old Style" w:hAnsi="Bookman Old Style"/>
                <w:b/>
                <w:color w:val="231F20"/>
              </w:rPr>
              <w:t>, del decreto-legge 25</w:t>
            </w:r>
            <w:r w:rsidR="00F95E70">
              <w:rPr>
                <w:rFonts w:ascii="Bookman Old Style" w:hAnsi="Bookman Old Style"/>
                <w:b/>
                <w:color w:val="231F20"/>
              </w:rPr>
              <w:t xml:space="preserve"> </w:t>
            </w:r>
            <w:r w:rsidRPr="00F95E70">
              <w:rPr>
                <w:rFonts w:ascii="Bookman Old Style" w:hAnsi="Bookman Old Style"/>
                <w:b/>
                <w:color w:val="231F20"/>
              </w:rPr>
              <w:t>giugno 2008, n. 112, convertito, con modificazioni, dalla legge 6 agosto 2008, n. 133.</w:t>
            </w:r>
          </w:p>
        </w:tc>
        <w:tc>
          <w:tcPr>
            <w:tcW w:w="7122" w:type="dxa"/>
            <w:gridSpan w:val="2"/>
          </w:tcPr>
          <w:p w:rsidR="00A40558" w:rsidRPr="00A40558" w:rsidRDefault="00F95E70" w:rsidP="00A40558">
            <w:pPr>
              <w:pStyle w:val="NormaleWeb"/>
              <w:spacing w:before="0" w:beforeAutospacing="0" w:after="0" w:afterAutospacing="0"/>
              <w:jc w:val="both"/>
              <w:rPr>
                <w:rFonts w:ascii="Bookman Old Style" w:hAnsi="Bookman Old Style"/>
                <w:b/>
                <w:i/>
                <w:color w:val="000000"/>
                <w:sz w:val="22"/>
                <w:szCs w:val="22"/>
              </w:rPr>
            </w:pPr>
            <w:r>
              <w:rPr>
                <w:rFonts w:ascii="Bookman Old Style" w:hAnsi="Bookman Old Style"/>
                <w:bCs/>
                <w:i/>
                <w:iCs/>
                <w:color w:val="000000"/>
                <w:sz w:val="22"/>
                <w:szCs w:val="22"/>
              </w:rPr>
              <w:t>Il comma, introdotto dalla camera, p</w:t>
            </w:r>
            <w:r w:rsidR="00A40558" w:rsidRPr="00A40558">
              <w:rPr>
                <w:rFonts w:ascii="Bookman Old Style" w:hAnsi="Bookman Old Style"/>
                <w:i/>
                <w:color w:val="000000"/>
                <w:sz w:val="22"/>
                <w:szCs w:val="22"/>
              </w:rPr>
              <w:t xml:space="preserve">roroga fino al </w:t>
            </w:r>
            <w:r w:rsidR="00A40558" w:rsidRPr="00A40558">
              <w:rPr>
                <w:rFonts w:ascii="Bookman Old Style" w:hAnsi="Bookman Old Style"/>
                <w:bCs/>
                <w:i/>
                <w:color w:val="000000"/>
                <w:sz w:val="22"/>
                <w:szCs w:val="22"/>
              </w:rPr>
              <w:t xml:space="preserve">31 dicembre 2017 </w:t>
            </w:r>
            <w:r w:rsidR="00A40558" w:rsidRPr="00A40558">
              <w:rPr>
                <w:rFonts w:ascii="Bookman Old Style" w:hAnsi="Bookman Old Style"/>
                <w:i/>
                <w:color w:val="000000"/>
                <w:sz w:val="22"/>
                <w:szCs w:val="22"/>
              </w:rPr>
              <w:t xml:space="preserve">l'efficacia delle </w:t>
            </w:r>
            <w:r w:rsidR="00A40558" w:rsidRPr="00A40558">
              <w:rPr>
                <w:rFonts w:ascii="Bookman Old Style" w:hAnsi="Bookman Old Style"/>
                <w:bCs/>
                <w:i/>
                <w:color w:val="000000"/>
                <w:sz w:val="22"/>
                <w:szCs w:val="22"/>
              </w:rPr>
              <w:t xml:space="preserve">graduatorie dei concorsi pubblici </w:t>
            </w:r>
            <w:r w:rsidR="00A40558" w:rsidRPr="00A40558">
              <w:rPr>
                <w:rFonts w:ascii="Bookman Old Style" w:hAnsi="Bookman Old Style"/>
                <w:i/>
                <w:color w:val="000000"/>
                <w:sz w:val="22"/>
                <w:szCs w:val="22"/>
              </w:rPr>
              <w:t xml:space="preserve">per assunzioni a tempo indeterminato, vigenti alla data di entrata in vigore del decreto n.101 del 31 agosto 2013, relative alle amministrazioni pubbliche soggette a limitazioni delle assunzioni, nonché delle graduatorie vigenti del personale dei Corpi di polizia e del Corpo nazionale dei vigili del fuoco. </w:t>
            </w:r>
            <w:r w:rsidR="00A40558" w:rsidRPr="00A40558">
              <w:rPr>
                <w:rFonts w:ascii="Bookman Old Style" w:hAnsi="Bookman Old Style"/>
                <w:b/>
                <w:i/>
                <w:color w:val="000000"/>
                <w:sz w:val="22"/>
                <w:szCs w:val="22"/>
              </w:rPr>
              <w:t>La formulazione della norma non appare utile a garantire la proroga di graduatorie pubblicate dopo il d.l. 101/2013.</w:t>
            </w:r>
          </w:p>
          <w:p w:rsidR="00A40558" w:rsidRPr="00A40558" w:rsidRDefault="00A40558" w:rsidP="00A40558">
            <w:pPr>
              <w:jc w:val="both"/>
              <w:rPr>
                <w:rFonts w:ascii="Bookman Old Style" w:hAnsi="Bookman Old Style"/>
                <w:i/>
                <w:color w:val="000000"/>
              </w:rPr>
            </w:pPr>
          </w:p>
        </w:tc>
      </w:tr>
      <w:tr w:rsidR="00F07B8A" w:rsidTr="00481472">
        <w:trPr>
          <w:gridAfter w:val="1"/>
          <w:wAfter w:w="150" w:type="dxa"/>
        </w:trPr>
        <w:tc>
          <w:tcPr>
            <w:tcW w:w="14277" w:type="dxa"/>
            <w:gridSpan w:val="4"/>
          </w:tcPr>
          <w:p w:rsidR="00F07B8A" w:rsidRPr="000778A2" w:rsidRDefault="00F07B8A" w:rsidP="00F07B8A">
            <w:pPr>
              <w:jc w:val="center"/>
              <w:rPr>
                <w:rFonts w:ascii="Bookman Old Style" w:hAnsi="Bookman Old Style"/>
                <w:b/>
                <w:i/>
                <w:color w:val="000000"/>
              </w:rPr>
            </w:pPr>
            <w:r w:rsidRPr="000778A2">
              <w:rPr>
                <w:rFonts w:ascii="Bookman Old Style" w:hAnsi="Bookman Old Style"/>
                <w:b/>
                <w:bCs/>
                <w:i/>
                <w:color w:val="000000"/>
              </w:rPr>
              <w:t xml:space="preserve">MISURE </w:t>
            </w:r>
            <w:proofErr w:type="spellStart"/>
            <w:r w:rsidRPr="000778A2">
              <w:rPr>
                <w:rFonts w:ascii="Bookman Old Style" w:hAnsi="Bookman Old Style"/>
                <w:b/>
                <w:bCs/>
                <w:i/>
                <w:color w:val="000000"/>
              </w:rPr>
              <w:t>DI</w:t>
            </w:r>
            <w:proofErr w:type="spellEnd"/>
            <w:r w:rsidRPr="000778A2">
              <w:rPr>
                <w:rFonts w:ascii="Bookman Old Style" w:hAnsi="Bookman Old Style"/>
                <w:b/>
                <w:bCs/>
                <w:i/>
                <w:color w:val="000000"/>
              </w:rPr>
              <w:t xml:space="preserve"> RAZIONALIZZAZIONE DELLA SPESA PUBBLICA</w:t>
            </w:r>
            <w:r w:rsidRPr="000778A2">
              <w:rPr>
                <w:rFonts w:ascii="Bookman Old Style" w:hAnsi="Bookman Old Style"/>
                <w:i/>
                <w:color w:val="000000"/>
              </w:rPr>
              <w:br/>
            </w:r>
            <w:r w:rsidRPr="000778A2">
              <w:rPr>
                <w:rFonts w:ascii="Bookman Old Style" w:hAnsi="Bookman Old Style"/>
                <w:b/>
                <w:bCs/>
                <w:i/>
                <w:color w:val="000000"/>
              </w:rPr>
              <w:t>Misure di efficient</w:t>
            </w:r>
            <w:r>
              <w:rPr>
                <w:rFonts w:ascii="Bookman Old Style" w:hAnsi="Bookman Old Style"/>
                <w:b/>
                <w:bCs/>
                <w:i/>
                <w:color w:val="000000"/>
              </w:rPr>
              <w:t>amento della spesa per acquisti</w:t>
            </w:r>
          </w:p>
        </w:tc>
      </w:tr>
      <w:tr w:rsidR="00F07B8A" w:rsidTr="00481472">
        <w:trPr>
          <w:gridAfter w:val="1"/>
          <w:wAfter w:w="150" w:type="dxa"/>
        </w:trPr>
        <w:tc>
          <w:tcPr>
            <w:tcW w:w="7155" w:type="dxa"/>
            <w:gridSpan w:val="2"/>
          </w:tcPr>
          <w:p w:rsidR="00F07B8A" w:rsidRPr="002B111B" w:rsidRDefault="00F07B8A" w:rsidP="00F07B8A">
            <w:pPr>
              <w:shd w:val="clear" w:color="auto" w:fill="FFFFFF"/>
              <w:jc w:val="both"/>
              <w:rPr>
                <w:rFonts w:ascii="Bookman Old Style" w:eastAsia="Times New Roman" w:hAnsi="Bookman Old Style" w:cs="Arial"/>
                <w:b/>
                <w:lang w:eastAsia="it-IT"/>
              </w:rPr>
            </w:pPr>
            <w:r>
              <w:rPr>
                <w:rFonts w:ascii="Bookman Old Style" w:eastAsia="Times New Roman" w:hAnsi="Bookman Old Style" w:cs="Arial"/>
                <w:lang w:eastAsia="it-IT"/>
              </w:rPr>
              <w:t>413</w:t>
            </w:r>
            <w:r w:rsidRPr="00E847D3">
              <w:rPr>
                <w:rFonts w:ascii="Bookman Old Style" w:eastAsia="Times New Roman" w:hAnsi="Bookman Old Style" w:cs="Arial"/>
                <w:lang w:eastAsia="it-IT"/>
              </w:rPr>
              <w:t>. Il Ministero dell'economia e delle finanze, nell'ambito del Programma di razionalizzazione degli acquisti della pubblica amministrazione, avvia, tramite la società Consip Spa, un'analisi volta ad individuare nuovi strumenti di acquisto centralizzato di beni e correlati servizi, anche mediante modelli organizzativi che prevedano l'acquisizione di beni durevoli e la concessione dell'utilizzo degli stessi da parte delle amministrazioni o de</w:t>
            </w:r>
            <w:r>
              <w:rPr>
                <w:rFonts w:ascii="Bookman Old Style" w:eastAsia="Times New Roman" w:hAnsi="Bookman Old Style" w:cs="Arial"/>
                <w:lang w:eastAsia="it-IT"/>
              </w:rPr>
              <w:t xml:space="preserve">i soggetti pubblici interessati </w:t>
            </w:r>
            <w:r>
              <w:rPr>
                <w:rFonts w:ascii="Bookman Old Style" w:eastAsia="Times New Roman" w:hAnsi="Bookman Old Style" w:cs="Arial"/>
                <w:b/>
                <w:lang w:eastAsia="it-IT"/>
              </w:rPr>
              <w:t xml:space="preserve">senza che dai suddetti </w:t>
            </w:r>
            <w:r w:rsidRPr="002B111B">
              <w:rPr>
                <w:rFonts w:ascii="Bookman Old Style" w:eastAsia="Times New Roman" w:hAnsi="Bookman Old Style" w:cs="Arial"/>
                <w:b/>
                <w:lang w:eastAsia="it-IT"/>
              </w:rPr>
              <w:t>modelli organiz</w:t>
            </w:r>
            <w:r>
              <w:rPr>
                <w:rFonts w:ascii="Bookman Old Style" w:eastAsia="Times New Roman" w:hAnsi="Bookman Old Style" w:cs="Arial"/>
                <w:b/>
                <w:lang w:eastAsia="it-IT"/>
              </w:rPr>
              <w:t xml:space="preserve">zativi derivino discriminazioni </w:t>
            </w:r>
            <w:r w:rsidRPr="002B111B">
              <w:rPr>
                <w:rFonts w:ascii="Bookman Old Style" w:eastAsia="Times New Roman" w:hAnsi="Bookman Old Style" w:cs="Arial"/>
                <w:b/>
                <w:lang w:eastAsia="it-IT"/>
              </w:rPr>
              <w:t>o esclu</w:t>
            </w:r>
            <w:r>
              <w:rPr>
                <w:rFonts w:ascii="Bookman Old Style" w:eastAsia="Times New Roman" w:hAnsi="Bookman Old Style" w:cs="Arial"/>
                <w:b/>
                <w:lang w:eastAsia="it-IT"/>
              </w:rPr>
              <w:t xml:space="preserve">sioni per le micro e le piccole </w:t>
            </w:r>
            <w:r w:rsidRPr="002B111B">
              <w:rPr>
                <w:rFonts w:ascii="Bookman Old Style" w:eastAsia="Times New Roman" w:hAnsi="Bookman Old Style" w:cs="Arial"/>
                <w:b/>
                <w:lang w:eastAsia="it-IT"/>
              </w:rPr>
              <w:t>imprese.</w:t>
            </w:r>
          </w:p>
        </w:tc>
        <w:tc>
          <w:tcPr>
            <w:tcW w:w="7122" w:type="dxa"/>
            <w:gridSpan w:val="2"/>
          </w:tcPr>
          <w:p w:rsidR="00F07B8A" w:rsidRPr="000778A2" w:rsidRDefault="00F07B8A" w:rsidP="00F07B8A">
            <w:pPr>
              <w:jc w:val="both"/>
              <w:rPr>
                <w:rFonts w:ascii="Bookman Old Style" w:hAnsi="Bookman Old Style"/>
                <w:i/>
                <w:color w:val="000000"/>
              </w:rPr>
            </w:pPr>
            <w:r w:rsidRPr="000778A2">
              <w:rPr>
                <w:rFonts w:ascii="Bookman Old Style" w:hAnsi="Bookman Old Style"/>
                <w:b/>
                <w:i/>
                <w:color w:val="000000"/>
              </w:rPr>
              <w:t>Commi 413-414</w:t>
            </w:r>
            <w:r w:rsidRPr="000778A2">
              <w:rPr>
                <w:rFonts w:ascii="Bookman Old Style" w:hAnsi="Bookman Old Style"/>
                <w:i/>
                <w:color w:val="000000"/>
              </w:rPr>
              <w:t xml:space="preserve"> (Nuovi strumenti d’acquisto centralizzato) La disposizione dà seguito alle linee d’azione già tracciate nel DEF che individua nel rafforzamento dell’acquisizione centralizzata un tassello fondamentale per sostenere la revisione della spesa tramite il recupero dell’efficienza nei processi e nei costi d’acquisto (inclusi gli oneri amministrativi connessi all’espletamento delle procedure di approvvigionamento) e una maggiore tracciabilità, trasparenza e semplificazione dell’azione amministrativa, prevedendo lo svolgimento di un’attività di studio e analisi preliminare di nuove modalità di acquisto di beni e di servizi correlati da dare in uso a terzi soggetti di natura pubblica.</w:t>
            </w:r>
          </w:p>
        </w:tc>
      </w:tr>
      <w:tr w:rsidR="00F07B8A" w:rsidTr="00481472">
        <w:trPr>
          <w:gridAfter w:val="1"/>
          <w:wAfter w:w="150" w:type="dxa"/>
        </w:trPr>
        <w:tc>
          <w:tcPr>
            <w:tcW w:w="7155" w:type="dxa"/>
            <w:gridSpan w:val="2"/>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414</w:t>
            </w:r>
            <w:r w:rsidRPr="00E847D3">
              <w:rPr>
                <w:rFonts w:ascii="Bookman Old Style" w:eastAsia="Times New Roman" w:hAnsi="Bookman Old Style" w:cs="Arial"/>
                <w:lang w:eastAsia="it-IT"/>
              </w:rPr>
              <w:t xml:space="preserve">. Dalla disposizione di cui al comma </w:t>
            </w:r>
            <w:r>
              <w:rPr>
                <w:rFonts w:ascii="Bookman Old Style" w:eastAsia="Times New Roman" w:hAnsi="Bookman Old Style" w:cs="Arial"/>
                <w:lang w:eastAsia="it-IT"/>
              </w:rPr>
              <w:t>4</w:t>
            </w:r>
            <w:r w:rsidRPr="00E847D3">
              <w:rPr>
                <w:rFonts w:ascii="Bookman Old Style" w:eastAsia="Times New Roman" w:hAnsi="Bookman Old Style" w:cs="Arial"/>
                <w:lang w:eastAsia="it-IT"/>
              </w:rPr>
              <w:t>1</w:t>
            </w:r>
            <w:r>
              <w:rPr>
                <w:rFonts w:ascii="Bookman Old Style" w:eastAsia="Times New Roman" w:hAnsi="Bookman Old Style" w:cs="Arial"/>
                <w:lang w:eastAsia="it-IT"/>
              </w:rPr>
              <w:t>3</w:t>
            </w:r>
            <w:r w:rsidRPr="00E847D3">
              <w:rPr>
                <w:rFonts w:ascii="Bookman Old Style" w:eastAsia="Times New Roman" w:hAnsi="Bookman Old Style" w:cs="Arial"/>
                <w:lang w:eastAsia="it-IT"/>
              </w:rPr>
              <w:t xml:space="preserve"> non devono derivare nuovi o maggiori oneri a carico della finanza pubblica.</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Pr="002B111B" w:rsidRDefault="00F07B8A" w:rsidP="00F07B8A">
            <w:pPr>
              <w:shd w:val="clear" w:color="auto" w:fill="FFFFFF"/>
              <w:jc w:val="both"/>
              <w:rPr>
                <w:rFonts w:ascii="Bookman Old Style" w:eastAsia="Times New Roman" w:hAnsi="Bookman Old Style" w:cs="Arial"/>
                <w:b/>
                <w:lang w:eastAsia="it-IT"/>
              </w:rPr>
            </w:pPr>
            <w:r>
              <w:rPr>
                <w:rFonts w:ascii="Bookman Old Style" w:eastAsia="Times New Roman" w:hAnsi="Bookman Old Style" w:cs="Arial"/>
                <w:lang w:eastAsia="it-IT"/>
              </w:rPr>
              <w:t>415</w:t>
            </w:r>
            <w:r w:rsidRPr="00E847D3">
              <w:rPr>
                <w:rFonts w:ascii="Bookman Old Style" w:eastAsia="Times New Roman" w:hAnsi="Bookman Old Style" w:cs="Arial"/>
                <w:lang w:eastAsia="it-IT"/>
              </w:rPr>
              <w:t xml:space="preserve">. Al fine di migliorare l'efficienza, la rapidità e il monitoraggio dei processi di approvvigionamento di beni e servizi delle amministrazioni dello Stato, il Ministero dell'economia e delle finanze, nell'ambito del Programma di razionalizzazione degli acquisti, avvia una sperimentazione </w:t>
            </w:r>
            <w:r>
              <w:rPr>
                <w:rFonts w:ascii="Bookman Old Style" w:eastAsia="Times New Roman" w:hAnsi="Bookman Old Style" w:cs="Arial"/>
                <w:b/>
                <w:lang w:eastAsia="it-IT"/>
              </w:rPr>
              <w:t xml:space="preserve">che </w:t>
            </w:r>
            <w:r w:rsidRPr="002B111B">
              <w:rPr>
                <w:rFonts w:ascii="Bookman Old Style" w:eastAsia="Times New Roman" w:hAnsi="Bookman Old Style" w:cs="Arial"/>
                <w:b/>
                <w:lang w:eastAsia="it-IT"/>
              </w:rPr>
              <w:t>non deve comportare discriminazioni o</w:t>
            </w:r>
            <w:r>
              <w:rPr>
                <w:rFonts w:ascii="Bookman Old Style" w:eastAsia="Times New Roman" w:hAnsi="Bookman Old Style" w:cs="Arial"/>
                <w:b/>
                <w:lang w:eastAsia="it-IT"/>
              </w:rPr>
              <w:t xml:space="preserve"> </w:t>
            </w:r>
            <w:r w:rsidRPr="002B111B">
              <w:rPr>
                <w:rFonts w:ascii="Bookman Old Style" w:eastAsia="Times New Roman" w:hAnsi="Bookman Old Style" w:cs="Arial"/>
                <w:b/>
                <w:lang w:eastAsia="it-IT"/>
              </w:rPr>
              <w:t>esclusioni per le micro e le piccole imprese,</w:t>
            </w:r>
            <w:r>
              <w:rPr>
                <w:rFonts w:ascii="Bookman Old Style" w:eastAsia="Times New Roman" w:hAnsi="Bookman Old Style" w:cs="Arial"/>
                <w:b/>
                <w:lang w:eastAsia="it-IT"/>
              </w:rPr>
              <w:t xml:space="preserve"> </w:t>
            </w:r>
            <w:r w:rsidRPr="00E847D3">
              <w:rPr>
                <w:rFonts w:ascii="Bookman Old Style" w:eastAsia="Times New Roman" w:hAnsi="Bookman Old Style" w:cs="Arial"/>
                <w:lang w:eastAsia="it-IT"/>
              </w:rPr>
              <w:t xml:space="preserve">sulla cui base procede come acquirente unico per le </w:t>
            </w:r>
            <w:r w:rsidRPr="00E847D3">
              <w:rPr>
                <w:rFonts w:ascii="Bookman Old Style" w:eastAsia="Times New Roman" w:hAnsi="Bookman Old Style" w:cs="Arial"/>
                <w:lang w:eastAsia="it-IT"/>
              </w:rPr>
              <w:lastRenderedPageBreak/>
              <w:t>merceologie dell'energia elettrica e del servizio sostitutivo di mensa mediante buoni pasto, per il medesimo Ministero e per il Ministero dell'interno e le loro rispettive articolazioni territoriali.</w:t>
            </w:r>
          </w:p>
        </w:tc>
        <w:tc>
          <w:tcPr>
            <w:tcW w:w="7122" w:type="dxa"/>
            <w:gridSpan w:val="2"/>
          </w:tcPr>
          <w:p w:rsidR="00F07B8A" w:rsidRPr="000778A2" w:rsidRDefault="00F07B8A" w:rsidP="00F07B8A">
            <w:pPr>
              <w:jc w:val="both"/>
              <w:rPr>
                <w:rFonts w:ascii="Bookman Old Style" w:hAnsi="Bookman Old Style"/>
                <w:i/>
                <w:color w:val="000000"/>
              </w:rPr>
            </w:pPr>
            <w:r w:rsidRPr="000778A2">
              <w:rPr>
                <w:rFonts w:ascii="Bookman Old Style" w:hAnsi="Bookman Old Style"/>
                <w:b/>
                <w:i/>
                <w:color w:val="000000"/>
              </w:rPr>
              <w:lastRenderedPageBreak/>
              <w:t xml:space="preserve">Commi 415-418 </w:t>
            </w:r>
            <w:r w:rsidRPr="000778A2">
              <w:rPr>
                <w:rFonts w:ascii="Bookman Old Style" w:hAnsi="Bookman Old Style"/>
                <w:i/>
                <w:color w:val="000000"/>
              </w:rPr>
              <w:t xml:space="preserve"> (Sperimentazione MEF acquirente unico)</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Con la proposta si introduce – in coerenza con il DEF 2016 – una misura di rafforzamento in tema di razionalizzazione degli acquisti di beni e servizi sulla cui base il Mef, in qualità di responsabile del Programma di razionalizzazione degli acquisti della PA, agisce come “acquirente unico”. Le modalità, le tempistiche e le strutture dei Ministeri coinvolte in tale </w:t>
            </w:r>
            <w:r w:rsidRPr="000778A2">
              <w:rPr>
                <w:rFonts w:ascii="Bookman Old Style" w:hAnsi="Bookman Old Style"/>
                <w:i/>
                <w:color w:val="000000"/>
              </w:rPr>
              <w:lastRenderedPageBreak/>
              <w:t>sperimentazione</w:t>
            </w:r>
            <w:r>
              <w:rPr>
                <w:rFonts w:ascii="Bookman Old Style" w:hAnsi="Bookman Old Style"/>
                <w:i/>
                <w:color w:val="000000"/>
              </w:rPr>
              <w:t xml:space="preserve"> </w:t>
            </w:r>
            <w:r w:rsidRPr="000778A2">
              <w:rPr>
                <w:rFonts w:ascii="Bookman Old Style" w:hAnsi="Bookman Old Style"/>
                <w:i/>
                <w:color w:val="000000"/>
              </w:rPr>
              <w:t>saranno definite in un successivo decreto ministeriale. Con successivo DPCM, invece, potrà essere esteso l’ambito soggettivo e oggettivo della sperimentazione descritta, con l’individuazione di ulteriori amministrazioni e ulteriori categorie merceologiche di beni e servizi rispetto alle quali il MEF procederà come acquirente unico.</w:t>
            </w:r>
          </w:p>
        </w:tc>
      </w:tr>
      <w:tr w:rsidR="00F07B8A" w:rsidTr="00481472">
        <w:trPr>
          <w:gridAfter w:val="1"/>
          <w:wAfter w:w="150" w:type="dxa"/>
        </w:trPr>
        <w:tc>
          <w:tcPr>
            <w:tcW w:w="7155" w:type="dxa"/>
            <w:gridSpan w:val="2"/>
          </w:tcPr>
          <w:p w:rsidR="00F07B8A" w:rsidRPr="00E847D3"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shd w:val="clear" w:color="auto" w:fill="FFFFFF"/>
                <w:lang w:eastAsia="it-IT"/>
              </w:rPr>
              <w:lastRenderedPageBreak/>
              <w:t>4</w:t>
            </w:r>
            <w:r>
              <w:rPr>
                <w:rFonts w:ascii="Bookman Old Style" w:eastAsia="Times New Roman" w:hAnsi="Bookman Old Style" w:cs="Arial"/>
                <w:shd w:val="clear" w:color="auto" w:fill="FFFFFF"/>
                <w:lang w:eastAsia="it-IT"/>
              </w:rPr>
              <w:t>16</w:t>
            </w:r>
            <w:r w:rsidRPr="00E847D3">
              <w:rPr>
                <w:rFonts w:ascii="Bookman Old Style" w:eastAsia="Times New Roman" w:hAnsi="Bookman Old Style" w:cs="Arial"/>
                <w:shd w:val="clear" w:color="auto" w:fill="FFFFFF"/>
                <w:lang w:eastAsia="it-IT"/>
              </w:rPr>
              <w:t>. Con decreto del Ministero dell'economia e delle finanze sono definiti le modalità e i tempi di attuazione, nonché le strutture dei Ministeri coinvolte nella s</w:t>
            </w:r>
            <w:r>
              <w:rPr>
                <w:rFonts w:ascii="Bookman Old Style" w:eastAsia="Times New Roman" w:hAnsi="Bookman Old Style" w:cs="Arial"/>
                <w:shd w:val="clear" w:color="auto" w:fill="FFFFFF"/>
                <w:lang w:eastAsia="it-IT"/>
              </w:rPr>
              <w:t>perimentazione di cui al comma 415.</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Pr="00ED4A46"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417</w:t>
            </w:r>
            <w:r w:rsidRPr="00E847D3">
              <w:rPr>
                <w:rFonts w:ascii="Bookman Old Style" w:eastAsia="Times New Roman" w:hAnsi="Bookman Old Style" w:cs="Arial"/>
                <w:shd w:val="clear" w:color="auto" w:fill="FFFFFF"/>
                <w:lang w:eastAsia="it-IT"/>
              </w:rPr>
              <w:t>. Con decreto del Presidente del Consiglio dei ministri, su proposta del Ministro dell'economia e delle finanze, sentiti i Ministri interessati, possono essere individuate ulteriori amministrazioni e ulteriori categorie merceologiche cui è applicata la s</w:t>
            </w:r>
            <w:r>
              <w:rPr>
                <w:rFonts w:ascii="Bookman Old Style" w:eastAsia="Times New Roman" w:hAnsi="Bookman Old Style" w:cs="Arial"/>
                <w:shd w:val="clear" w:color="auto" w:fill="FFFFFF"/>
                <w:lang w:eastAsia="it-IT"/>
              </w:rPr>
              <w:t>perimentazione di cui al comma 415</w:t>
            </w:r>
            <w:r w:rsidRPr="00E847D3">
              <w:rPr>
                <w:rFonts w:ascii="Bookman Old Style" w:eastAsia="Times New Roman" w:hAnsi="Bookman Old Style" w:cs="Arial"/>
                <w:shd w:val="clear" w:color="auto" w:fill="FFFFFF"/>
                <w:lang w:eastAsia="it-IT"/>
              </w:rPr>
              <w:t>.</w:t>
            </w:r>
            <w:r w:rsidRPr="00CF63B8">
              <w:rPr>
                <w:rFonts w:ascii="Bookman Old Style" w:eastAsia="Times New Roman" w:hAnsi="Bookman Old Style" w:cs="Arial"/>
                <w:lang w:eastAsia="it-IT"/>
              </w:rPr>
              <w:t>  </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Pr="00E847D3" w:rsidRDefault="00F07B8A" w:rsidP="00F07B8A">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418</w:t>
            </w:r>
            <w:r w:rsidRPr="00E847D3">
              <w:rPr>
                <w:rFonts w:ascii="Bookman Old Style" w:eastAsia="Times New Roman" w:hAnsi="Bookman Old Style" w:cs="Arial"/>
                <w:shd w:val="clear" w:color="auto" w:fill="FFFFFF"/>
                <w:lang w:eastAsia="it-IT"/>
              </w:rPr>
              <w:t>. Dalle disposizioni di cui ai commi</w:t>
            </w:r>
            <w:r>
              <w:rPr>
                <w:rFonts w:ascii="Bookman Old Style" w:eastAsia="Times New Roman" w:hAnsi="Bookman Old Style" w:cs="Arial"/>
                <w:shd w:val="clear" w:color="auto" w:fill="FFFFFF"/>
                <w:lang w:eastAsia="it-IT"/>
              </w:rPr>
              <w:t xml:space="preserve"> da 415 a 417</w:t>
            </w:r>
            <w:r w:rsidRPr="00E847D3">
              <w:rPr>
                <w:rFonts w:ascii="Bookman Old Style" w:eastAsia="Times New Roman" w:hAnsi="Bookman Old Style" w:cs="Arial"/>
                <w:shd w:val="clear" w:color="auto" w:fill="FFFFFF"/>
                <w:lang w:eastAsia="it-IT"/>
              </w:rPr>
              <w:t xml:space="preserve"> non devono derivare nuovi o maggiori oneri a carico della finanza pubblica</w:t>
            </w:r>
            <w:r>
              <w:rPr>
                <w:rFonts w:ascii="Bookman Old Style" w:eastAsia="Times New Roman" w:hAnsi="Bookman Old Style" w:cs="Arial"/>
                <w:shd w:val="clear" w:color="auto" w:fill="FFFFFF"/>
                <w:lang w:eastAsia="it-IT"/>
              </w:rPr>
              <w:t>.</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Default="00F07B8A" w:rsidP="00F07B8A">
            <w:pPr>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419</w:t>
            </w:r>
            <w:r w:rsidRPr="00E847D3">
              <w:rPr>
                <w:rFonts w:ascii="Bookman Old Style" w:eastAsia="Times New Roman" w:hAnsi="Bookman Old Style" w:cs="Arial"/>
                <w:shd w:val="clear" w:color="auto" w:fill="FFFFFF"/>
                <w:lang w:eastAsia="it-IT"/>
              </w:rPr>
              <w:t>. All'</w:t>
            </w:r>
            <w:hyperlink r:id="rId14" w:anchor="art1" w:tgtFrame="rifNormativi" w:history="1">
              <w:r w:rsidRPr="00CF63B8">
                <w:rPr>
                  <w:rFonts w:ascii="Bookman Old Style" w:eastAsia="Times New Roman" w:hAnsi="Bookman Old Style" w:cs="Arial"/>
                  <w:lang w:eastAsia="it-IT"/>
                </w:rPr>
                <w:t>articolo 1 della legge 28 dicembre 2015, n. 208</w:t>
              </w:r>
            </w:hyperlink>
            <w:r w:rsidRPr="00E847D3">
              <w:rPr>
                <w:rFonts w:ascii="Bookman Old Style" w:eastAsia="Times New Roman" w:hAnsi="Bookman Old Style" w:cs="Arial"/>
                <w:shd w:val="clear" w:color="auto" w:fill="FFFFFF"/>
                <w:lang w:eastAsia="it-IT"/>
              </w:rPr>
              <w:t>, sono apportate le seguenti modificazioni:</w:t>
            </w:r>
          </w:p>
          <w:p w:rsidR="00F07B8A" w:rsidRPr="00E847D3" w:rsidRDefault="00F07B8A" w:rsidP="00F07B8A">
            <w:pPr>
              <w:jc w:val="both"/>
              <w:rPr>
                <w:rFonts w:ascii="Bookman Old Style" w:eastAsia="Times New Roman" w:hAnsi="Bookman Old Style" w:cs="Times New Roman"/>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comma 512, le parole: «provvedono ai propri approvvigionamenti esclusivamente tramite Consip SpA o i soggetti aggregatori» sono sostituite dalle seguenti: «provvedono ai propri approvvigionamenti esclusivamente tramite gli strumenti di acquisto e di negoziazione di Consip Spa o dei soggetti aggregatori»;</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E847D3"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dopo il comma 514 è aggiunto il seguente:</w:t>
            </w:r>
          </w:p>
          <w:p w:rsidR="00F07B8A" w:rsidRDefault="00F07B8A" w:rsidP="00F07B8A">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514-bis</w:t>
            </w:r>
            <w:r w:rsidRPr="00E847D3">
              <w:rPr>
                <w:rFonts w:ascii="Bookman Old Style" w:eastAsia="Times New Roman" w:hAnsi="Bookman Old Style" w:cs="Arial"/>
                <w:lang w:eastAsia="it-IT"/>
              </w:rPr>
              <w:t>. Per i beni e servizi la cui acquisizione riveste particolare rilevanza strategica secondo quanto indicato nel Piano triennale di cui al comma 513, le amministrazioni statali, centrali e periferiche, ad esclusione degli istituti e delle scuole di ogni ordine e grado, delle istituzioni educative e delle istituzioni universitarie, nonché gli enti nazionali di previdenza ed assistenza sociale pubblici e le agenzie fiscali di cui al</w:t>
            </w:r>
            <w:r w:rsidRPr="00CF63B8">
              <w:rPr>
                <w:rFonts w:ascii="Bookman Old Style" w:eastAsia="Times New Roman" w:hAnsi="Bookman Old Style" w:cs="Arial"/>
                <w:lang w:eastAsia="it-IT"/>
              </w:rPr>
              <w:t> </w:t>
            </w:r>
            <w:hyperlink r:id="rId15" w:tgtFrame="rifNormativi" w:history="1">
              <w:r w:rsidRPr="00CF63B8">
                <w:rPr>
                  <w:rFonts w:ascii="Bookman Old Style" w:eastAsia="Times New Roman" w:hAnsi="Bookman Old Style" w:cs="Arial"/>
                  <w:lang w:eastAsia="it-IT"/>
                </w:rPr>
                <w:t xml:space="preserve">decreto </w:t>
              </w:r>
              <w:r w:rsidRPr="00CF63B8">
                <w:rPr>
                  <w:rFonts w:ascii="Bookman Old Style" w:eastAsia="Times New Roman" w:hAnsi="Bookman Old Style" w:cs="Arial"/>
                  <w:lang w:eastAsia="it-IT"/>
                </w:rPr>
                <w:lastRenderedPageBreak/>
                <w:t>legislativo 30 luglio 1999, n. 300</w:t>
              </w:r>
            </w:hyperlink>
            <w:r w:rsidRPr="00E847D3">
              <w:rPr>
                <w:rFonts w:ascii="Bookman Old Style" w:eastAsia="Times New Roman" w:hAnsi="Bookman Old Style" w:cs="Arial"/>
                <w:lang w:eastAsia="it-IT"/>
              </w:rPr>
              <w:t>, ricorrono a Consip Spa, nell'ambito del Programma di razionalizzazione degli acquisti della pubblica amministrazione del Ministero dell'economia e delle finanze. A tal fine Consip Spa può supportare i soggetti di cui al periodo precedente nell'individuazione di specifici interventi di semplificazione, innovazione e riduzione dei costi dei processi amministrativi. Per le attività di cui al presente comma è previsto un incremento delle dotazioni destinate al finanziamento del Programma</w:t>
            </w:r>
            <w:r>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di razionalizzazione degli acquisti della pubblica amministrazione del Ministero dell'economia e delle finanze pari a euro 3.000.000 per l'anno 2017 e a euro 7.000.000 a decorrere dal 2018»;</w:t>
            </w:r>
          </w:p>
          <w:p w:rsidR="00F07B8A" w:rsidRPr="00E847D3" w:rsidRDefault="00F07B8A" w:rsidP="00F07B8A">
            <w:pPr>
              <w:shd w:val="clear" w:color="auto" w:fill="FFFFFF"/>
              <w:jc w:val="both"/>
              <w:rPr>
                <w:rFonts w:ascii="Bookman Old Style" w:eastAsia="Times New Roman" w:hAnsi="Bookman Old Style" w:cs="Times New Roman"/>
                <w:lang w:eastAsia="it-IT"/>
              </w:rPr>
            </w:pPr>
          </w:p>
          <w:p w:rsidR="00F07B8A" w:rsidRPr="00E847D3" w:rsidRDefault="00F07B8A" w:rsidP="00F07B8A">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comma 515, dopo le parole: «di cui al comma 513,» sono inserite le seguenti: «compresa quella relativa alle acquisizioni di particolare rilevanza strategica di cui al comma 514-</w:t>
            </w:r>
            <w:r w:rsidRPr="00CF63B8">
              <w:rPr>
                <w:rFonts w:ascii="Bookman Old Style" w:eastAsia="Times New Roman" w:hAnsi="Bookman Old Style" w:cs="Arial"/>
                <w:i/>
                <w:iCs/>
                <w:lang w:eastAsia="it-IT"/>
              </w:rPr>
              <w:t>bis,</w:t>
            </w:r>
            <w:r w:rsidRPr="00E847D3">
              <w:rPr>
                <w:rFonts w:ascii="Bookman Old Style" w:eastAsia="Times New Roman" w:hAnsi="Bookman Old Style" w:cs="Arial"/>
                <w:lang w:eastAsia="it-IT"/>
              </w:rPr>
              <w:t>».</w:t>
            </w:r>
          </w:p>
        </w:tc>
        <w:tc>
          <w:tcPr>
            <w:tcW w:w="7122" w:type="dxa"/>
            <w:gridSpan w:val="2"/>
          </w:tcPr>
          <w:p w:rsidR="00F07B8A" w:rsidRPr="000778A2" w:rsidRDefault="00F07B8A" w:rsidP="00F07B8A">
            <w:pPr>
              <w:jc w:val="both"/>
              <w:rPr>
                <w:rFonts w:ascii="Bookman Old Style" w:hAnsi="Bookman Old Style"/>
                <w:i/>
                <w:color w:val="000000"/>
              </w:rPr>
            </w:pPr>
            <w:r w:rsidRPr="000778A2">
              <w:rPr>
                <w:rFonts w:ascii="Bookman Old Style" w:hAnsi="Bookman Old Style"/>
                <w:b/>
                <w:i/>
                <w:color w:val="000000"/>
              </w:rPr>
              <w:lastRenderedPageBreak/>
              <w:t>Comma 419</w:t>
            </w:r>
            <w:r w:rsidRPr="000778A2">
              <w:rPr>
                <w:rFonts w:ascii="Bookman Old Style" w:hAnsi="Bookman Old Style"/>
                <w:i/>
                <w:color w:val="000000"/>
              </w:rPr>
              <w:t xml:space="preserve"> (Estensione Programma di razionalizzazione acquisti: acquisti beni e servizi ICT). Il comma 419 apporta delle integrazioni alla disciplina in tema di acquisti ICT della PA, al fine di garantire il supporto alle amministrazioni nell’efficiente processo di acquisizione con riferimento a tutte le acquisizioni ICT ritenute strategiche per il paese. In proposito, preliminarmente si</w:t>
            </w:r>
            <w:r w:rsidRPr="000778A2">
              <w:rPr>
                <w:rFonts w:ascii="Bookman Old Style" w:hAnsi="Bookman Old Style"/>
                <w:i/>
                <w:color w:val="000000"/>
              </w:rPr>
              <w:br/>
              <w:t>chiarisce, con le modifiche apportate al comma 512, che le pubbliche amministrazioni e le società del conto consolidato ISTAT sono obbligate a ricorrere a tutti gli strumenti di acquisto e negoziazione messi a disposizione delle stazioni appaltanti da Consip e dai soggetti aggregatori. Il comma 514-bis prevede che le acquisizioni strategiche – come individuate dall’AGID nella redazione del Piano triennale per l’informatica</w:t>
            </w:r>
            <w:r w:rsidRPr="000778A2">
              <w:rPr>
                <w:rFonts w:ascii="Bookman Old Style" w:hAnsi="Bookman Old Style"/>
                <w:i/>
                <w:color w:val="000000"/>
              </w:rPr>
              <w:br/>
              <w:t xml:space="preserve">rientrino nell’ambito del Programma di razionalizzazione degli acquisti della PA gestito dal MEF per il tramite di Consip. In tale contesto, oltre che provvedere alle acquisizioni, Consip potrà, altresì, supportare le amministrazioni interessate nelle attività amministrative propedeutiche finalizzate all’individuazione degli </w:t>
            </w:r>
            <w:r w:rsidRPr="000778A2">
              <w:rPr>
                <w:rFonts w:ascii="Bookman Old Style" w:hAnsi="Bookman Old Style"/>
                <w:i/>
                <w:color w:val="000000"/>
              </w:rPr>
              <w:lastRenderedPageBreak/>
              <w:t>interventi di semplificazione e innovazione dei processi amministrativi attraverso l’utilizzo delle tecnologie</w:t>
            </w:r>
            <w:r w:rsidRPr="000778A2">
              <w:rPr>
                <w:rFonts w:ascii="Bookman Old Style" w:hAnsi="Bookman Old Style"/>
                <w:i/>
                <w:color w:val="000000"/>
              </w:rPr>
              <w:br/>
              <w:t>ICT. Per le nuove attività sopra individuate è previsto un incremento delle dotazioni che finanziano il Programma di razionalizzazione degli acquisti del Ministero dell’economia e delle finanze di Euro 3.000.000 per l’anno 2017 e di Euro 7.000.000 a decorrere dal 2018. Le modifiche proposte al comma 515 sono intese a specificare che le acquisizioni di cui al comma 514-bis proprio in considerazione della loro rilevanza strategica e del fatto che sono svolte per il tramite di Consip, sono escluse dall’obiettivo di risparmio di spesa così come già previsto per le atre tipologie di spesa di natura informatica effettuata tramite soggetti aggregatori e la medesima Consip indicate nello stesso comma.</w:t>
            </w:r>
          </w:p>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420</w:t>
            </w:r>
            <w:r w:rsidRPr="00E847D3">
              <w:rPr>
                <w:rFonts w:ascii="Bookman Old Style" w:eastAsia="Times New Roman" w:hAnsi="Bookman Old Style" w:cs="Arial"/>
                <w:lang w:eastAsia="it-IT"/>
              </w:rPr>
              <w:t>. All'</w:t>
            </w:r>
            <w:hyperlink r:id="rId16" w:anchor="art9" w:tgtFrame="rifNormativi" w:history="1">
              <w:r w:rsidRPr="00CF63B8">
                <w:rPr>
                  <w:rFonts w:ascii="Bookman Old Style" w:eastAsia="Times New Roman" w:hAnsi="Bookman Old Style" w:cs="Arial"/>
                  <w:lang w:eastAsia="it-IT"/>
                </w:rPr>
                <w:t>articolo 9 del decreto-legge 24 aprile 2014, n. 66</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17" w:tgtFrame="rifNormativi" w:history="1">
              <w:r w:rsidRPr="00CF63B8">
                <w:rPr>
                  <w:rFonts w:ascii="Bookman Old Style" w:eastAsia="Times New Roman" w:hAnsi="Bookman Old Style" w:cs="Arial"/>
                  <w:lang w:eastAsia="it-IT"/>
                </w:rPr>
                <w:t>legge 23 giugno 2014, n. 89</w:t>
              </w:r>
            </w:hyperlink>
            <w:r w:rsidRPr="00E847D3">
              <w:rPr>
                <w:rFonts w:ascii="Bookman Old Style" w:eastAsia="Times New Roman" w:hAnsi="Bookman Old Style" w:cs="Arial"/>
                <w:lang w:eastAsia="it-IT"/>
              </w:rPr>
              <w:t>, dopo il comma 2 è inserito il seguente:</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9B3C03" w:rsidRDefault="00F07B8A" w:rsidP="00F07B8A">
            <w:pPr>
              <w:shd w:val="clear" w:color="auto" w:fill="FFFFFF"/>
              <w:jc w:val="both"/>
              <w:rPr>
                <w:rFonts w:ascii="Bookman Old Style" w:eastAsia="Times New Roman" w:hAnsi="Bookman Old Style" w:cs="Arial"/>
                <w:b/>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2-bis</w:t>
            </w:r>
            <w:r w:rsidRPr="00E847D3">
              <w:rPr>
                <w:rFonts w:ascii="Bookman Old Style" w:eastAsia="Times New Roman" w:hAnsi="Bookman Old Style" w:cs="Arial"/>
                <w:lang w:eastAsia="it-IT"/>
              </w:rPr>
              <w:t>. Nell'ambito del Tavolo tecnico dei soggetti aggregatori opera un Comitato guida, disciplinato dal decreto del Presidente del Consiglio dei ministri di cui al comma 2, il quale, oltre ai compiti previsti dal medesimo decreto, fornisce attraverso linee guida indicazioni utili per favorire lo sviluppo delle migliori pratiche con riferimento alle procedure di cui al comma 3 da parte dei soggetti aggregatori di cui ai commi 1 e 2, ivi inclusa la determinazione delle fasce di valori da porre a base d'asta</w:t>
            </w:r>
            <w:r w:rsidRPr="009B3C03">
              <w:rPr>
                <w:rFonts w:ascii="Bookman Old Style" w:eastAsia="Times New Roman" w:hAnsi="Bookman Old Style" w:cs="Arial"/>
                <w:b/>
                <w:lang w:eastAsia="it-IT"/>
              </w:rPr>
              <w:t xml:space="preserve">e delle </w:t>
            </w:r>
            <w:r>
              <w:rPr>
                <w:rFonts w:ascii="Bookman Old Style" w:eastAsia="Times New Roman" w:hAnsi="Bookman Old Style" w:cs="Arial"/>
                <w:b/>
                <w:lang w:eastAsia="it-IT"/>
              </w:rPr>
              <w:t xml:space="preserve">modalità per non discriminare o </w:t>
            </w:r>
            <w:r w:rsidRPr="009B3C03">
              <w:rPr>
                <w:rFonts w:ascii="Bookman Old Style" w:eastAsia="Times New Roman" w:hAnsi="Bookman Old Style" w:cs="Arial"/>
                <w:b/>
                <w:lang w:eastAsia="it-IT"/>
              </w:rPr>
              <w:t>escludere le micro e le piccole imprese.</w:t>
            </w:r>
            <w:r w:rsidRPr="00E847D3">
              <w:rPr>
                <w:rFonts w:ascii="Bookman Old Style" w:eastAsia="Times New Roman" w:hAnsi="Bookman Old Style" w:cs="Arial"/>
                <w:lang w:eastAsia="it-IT"/>
              </w:rPr>
              <w:t xml:space="preserve"> I soggetti aggregatori di cui ai commi 1 e 2 trasmettono al Comitato guida, nel caso di non allineamento alle linee guida di cui al periodo precedente, una preventiva comunicazione specificamente motivata sulla quale il Comitato guida può esprimere proprie osservazioni».</w:t>
            </w:r>
          </w:p>
        </w:tc>
        <w:tc>
          <w:tcPr>
            <w:tcW w:w="7122" w:type="dxa"/>
            <w:gridSpan w:val="2"/>
          </w:tcPr>
          <w:p w:rsidR="00F07B8A" w:rsidRPr="000778A2" w:rsidRDefault="00F07B8A" w:rsidP="00F07B8A">
            <w:pPr>
              <w:jc w:val="both"/>
              <w:rPr>
                <w:rFonts w:ascii="Bookman Old Style" w:hAnsi="Bookman Old Style"/>
                <w:b/>
                <w:i/>
                <w:color w:val="000000"/>
              </w:rPr>
            </w:pPr>
            <w:r w:rsidRPr="000778A2">
              <w:rPr>
                <w:rFonts w:ascii="Bookman Old Style" w:hAnsi="Bookman Old Style"/>
                <w:b/>
                <w:i/>
                <w:color w:val="000000"/>
              </w:rPr>
              <w:t>Commi da 420 a 422</w:t>
            </w:r>
            <w:r w:rsidRPr="000778A2">
              <w:rPr>
                <w:rFonts w:ascii="Bookman Old Style" w:hAnsi="Bookman Old Style"/>
                <w:i/>
                <w:color w:val="000000"/>
              </w:rPr>
              <w:t xml:space="preserve"> (beni e servizi). La norma integra l’articolo 9 del dl n. 66/2014 prevedendo che le amministrazioni pubbliche obbligate a ricorrere a Consip o agli altri soggetti aggregatori possono procedere, in assenza di pertinenti contratti di Consip o dei soggetti aggregatori e in caso di motivata urgenza, ad autonome procedure di acquisto. Si prevede che il Comitato guida, già istituito nell’ambito del Tavolo tecnico dei soggetti aggregatori di cui all’articolo 9, comma 2, del decreto legge n. 66/2014, fornisca, attraverso linee-guida, indicazioni utili per favorire lo sviluppo delle migliori pratiche con riferimento alle procedure di definizione delle gare da parte dei soggetti aggregatori, ivi inclusa la determinazione delle fasce di valori da porre a base d’asta. Si prevede, inoltre, che l’allineamento dei soggetti aggregatori alle linee guida, sia tenuto in considerazione ai fini del riparto delle risorse di cui all’articolo 9, comma 9, del decreto legge n. 66/2014.</w:t>
            </w:r>
          </w:p>
        </w:tc>
      </w:tr>
      <w:tr w:rsidR="00F07B8A" w:rsidTr="00481472">
        <w:trPr>
          <w:gridAfter w:val="1"/>
          <w:wAfter w:w="150" w:type="dxa"/>
        </w:trPr>
        <w:tc>
          <w:tcPr>
            <w:tcW w:w="7155" w:type="dxa"/>
            <w:gridSpan w:val="2"/>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421</w:t>
            </w:r>
            <w:r w:rsidRPr="00E847D3">
              <w:rPr>
                <w:rFonts w:ascii="Bookman Old Style" w:eastAsia="Times New Roman" w:hAnsi="Bookman Old Style" w:cs="Arial"/>
                <w:lang w:eastAsia="it-IT"/>
              </w:rPr>
              <w:t>. All'</w:t>
            </w:r>
            <w:hyperlink r:id="rId18" w:anchor="art9" w:tgtFrame="rifNormativi" w:history="1">
              <w:r w:rsidRPr="00CF63B8">
                <w:rPr>
                  <w:rFonts w:ascii="Bookman Old Style" w:eastAsia="Times New Roman" w:hAnsi="Bookman Old Style" w:cs="Arial"/>
                  <w:lang w:eastAsia="it-IT"/>
                </w:rPr>
                <w:t>articolo 9 del decreto-legge 24 aprile 2014, n. 66</w:t>
              </w:r>
            </w:hyperlink>
            <w:r w:rsidRPr="00E847D3">
              <w:rPr>
                <w:rFonts w:ascii="Bookman Old Style" w:eastAsia="Times New Roman" w:hAnsi="Bookman Old Style" w:cs="Arial"/>
                <w:lang w:eastAsia="it-IT"/>
              </w:rPr>
              <w:t xml:space="preserve">, </w:t>
            </w:r>
            <w:r w:rsidRPr="00E847D3">
              <w:rPr>
                <w:rFonts w:ascii="Bookman Old Style" w:eastAsia="Times New Roman" w:hAnsi="Bookman Old Style" w:cs="Arial"/>
                <w:lang w:eastAsia="it-IT"/>
              </w:rPr>
              <w:lastRenderedPageBreak/>
              <w:t>convertito, con modificazioni, dalla</w:t>
            </w:r>
            <w:r w:rsidRPr="00CF63B8">
              <w:rPr>
                <w:rFonts w:ascii="Bookman Old Style" w:eastAsia="Times New Roman" w:hAnsi="Bookman Old Style" w:cs="Arial"/>
                <w:lang w:eastAsia="it-IT"/>
              </w:rPr>
              <w:t> </w:t>
            </w:r>
            <w:hyperlink r:id="rId19" w:tgtFrame="rifNormativi" w:history="1">
              <w:r w:rsidRPr="00CF63B8">
                <w:rPr>
                  <w:rFonts w:ascii="Bookman Old Style" w:eastAsia="Times New Roman" w:hAnsi="Bookman Old Style" w:cs="Arial"/>
                  <w:lang w:eastAsia="it-IT"/>
                </w:rPr>
                <w:t>legge 23 giugno 2014, n. 89</w:t>
              </w:r>
            </w:hyperlink>
            <w:r w:rsidRPr="00E847D3">
              <w:rPr>
                <w:rFonts w:ascii="Bookman Old Style" w:eastAsia="Times New Roman" w:hAnsi="Bookman Old Style" w:cs="Arial"/>
                <w:lang w:eastAsia="it-IT"/>
              </w:rPr>
              <w:t>, dopo il comma 3 è inserito il seguente:</w:t>
            </w:r>
          </w:p>
          <w:p w:rsidR="00F07B8A" w:rsidRPr="00E847D3" w:rsidRDefault="00F07B8A" w:rsidP="00F07B8A">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«3-bis</w:t>
            </w:r>
            <w:r w:rsidRPr="00E847D3">
              <w:rPr>
                <w:rFonts w:ascii="Bookman Old Style" w:eastAsia="Times New Roman" w:hAnsi="Bookman Old Style" w:cs="Arial"/>
                <w:lang w:eastAsia="it-IT"/>
              </w:rPr>
              <w:t>. Le amministrazioni pubbliche obbligate a ricorrere a Consip Spa o agli altri soggetti aggregatori ai sensi del comma 3 possono procedere, qualora non siano disponibili i relativi contratti di Consip Spa o dei soggetti aggregatori di cui ai commi 1 e 2 e in caso di motivata urgenza, allo svolgimento di autonome procedure di acquisto dirette alla stipula di contratti aventi durata e misura strettamente necessaria. In tale caso l'Autorità nazionale anticorruzione</w:t>
            </w:r>
            <w:r>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rilascia il codice identificativo di gara (CIG)».</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Pr="00E847D3" w:rsidRDefault="00F07B8A" w:rsidP="00F07B8A">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lastRenderedPageBreak/>
              <w:t>422</w:t>
            </w:r>
            <w:r w:rsidRPr="00E847D3">
              <w:rPr>
                <w:rFonts w:ascii="Bookman Old Style" w:eastAsia="Times New Roman" w:hAnsi="Bookman Old Style" w:cs="Arial"/>
                <w:lang w:eastAsia="it-IT"/>
              </w:rPr>
              <w:t>. All'</w:t>
            </w:r>
            <w:hyperlink r:id="rId20" w:anchor="art9-com9" w:tgtFrame="rifNormativi" w:history="1">
              <w:r w:rsidRPr="00CF63B8">
                <w:rPr>
                  <w:rFonts w:ascii="Bookman Old Style" w:eastAsia="Times New Roman" w:hAnsi="Bookman Old Style" w:cs="Arial"/>
                  <w:lang w:eastAsia="it-IT"/>
                </w:rPr>
                <w:t>articolo 9, comma 9, del decreto-legge 24 aprile 2014, n. 66</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21" w:tgtFrame="rifNormativi" w:history="1">
              <w:r w:rsidRPr="00CF63B8">
                <w:rPr>
                  <w:rFonts w:ascii="Bookman Old Style" w:eastAsia="Times New Roman" w:hAnsi="Bookman Old Style" w:cs="Arial"/>
                  <w:lang w:eastAsia="it-IT"/>
                </w:rPr>
                <w:t>legge 23 giugno 2014, n. 89</w:t>
              </w:r>
            </w:hyperlink>
            <w:r w:rsidRPr="00E847D3">
              <w:rPr>
                <w:rFonts w:ascii="Bookman Old Style" w:eastAsia="Times New Roman" w:hAnsi="Bookman Old Style" w:cs="Arial"/>
                <w:lang w:eastAsia="it-IT"/>
              </w:rPr>
              <w:t>, sono aggiunte, in fine, le seguenti parole: «, che tengono conto anche dell'allineamento, da parte dei soggetti aggregatori di cui ai commi 1 e 2, delle indicazioni del Comitato guida fornite ai sensi del comma 2</w:t>
            </w:r>
            <w:r w:rsidRPr="00CF63B8">
              <w:rPr>
                <w:rFonts w:ascii="Bookman Old Style" w:eastAsia="Times New Roman" w:hAnsi="Bookman Old Style" w:cs="Arial"/>
                <w:i/>
                <w:iCs/>
                <w:lang w:eastAsia="it-IT"/>
              </w:rPr>
              <w:t>-bis</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del presente articolo».</w:t>
            </w:r>
          </w:p>
        </w:tc>
        <w:tc>
          <w:tcPr>
            <w:tcW w:w="7122" w:type="dxa"/>
            <w:gridSpan w:val="2"/>
          </w:tcPr>
          <w:p w:rsidR="00F07B8A" w:rsidRPr="000778A2" w:rsidRDefault="00F07B8A" w:rsidP="00F07B8A">
            <w:pPr>
              <w:jc w:val="both"/>
              <w:rPr>
                <w:rFonts w:ascii="Bookman Old Style" w:hAnsi="Bookman Old Style"/>
                <w:b/>
                <w:i/>
                <w:color w:val="000000"/>
              </w:rPr>
            </w:pPr>
          </w:p>
        </w:tc>
      </w:tr>
      <w:tr w:rsidR="00F07B8A" w:rsidTr="00481472">
        <w:trPr>
          <w:gridAfter w:val="1"/>
          <w:wAfter w:w="150" w:type="dxa"/>
        </w:trPr>
        <w:tc>
          <w:tcPr>
            <w:tcW w:w="7155" w:type="dxa"/>
            <w:gridSpan w:val="2"/>
          </w:tcPr>
          <w:p w:rsidR="00F07B8A" w:rsidRPr="009B3C03" w:rsidRDefault="00F07B8A" w:rsidP="00F07B8A">
            <w:pPr>
              <w:shd w:val="clear" w:color="auto" w:fill="FFFFFF"/>
              <w:jc w:val="both"/>
              <w:rPr>
                <w:rFonts w:ascii="Bookman Old Style" w:eastAsia="Times New Roman" w:hAnsi="Bookman Old Style" w:cs="Arial"/>
                <w:b/>
                <w:lang w:eastAsia="it-IT"/>
              </w:rPr>
            </w:pPr>
            <w:r>
              <w:rPr>
                <w:rFonts w:ascii="Bookman Old Style" w:eastAsia="Times New Roman" w:hAnsi="Bookman Old Style" w:cs="Arial"/>
                <w:lang w:eastAsia="it-IT"/>
              </w:rPr>
              <w:t>423</w:t>
            </w:r>
            <w:r w:rsidRPr="00E847D3">
              <w:rPr>
                <w:rFonts w:ascii="Bookman Old Style" w:eastAsia="Times New Roman" w:hAnsi="Bookman Old Style" w:cs="Arial"/>
                <w:lang w:eastAsia="it-IT"/>
              </w:rPr>
              <w:t>. Con Accordo da sancire in sede di Conferenza permanente tra lo Stato, le regioni e le province autonome di Trento e di Bolzano entro il 28 febbraio 2017 sono definite le attività da porre in essere per pervenire alla definizione di linee di indirizzo per l'efficientamento e la definizione di</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con riferimento ai magazzin</w:t>
            </w:r>
            <w:r>
              <w:rPr>
                <w:rFonts w:ascii="Bookman Old Style" w:eastAsia="Times New Roman" w:hAnsi="Bookman Old Style" w:cs="Arial"/>
                <w:lang w:eastAsia="it-IT"/>
              </w:rPr>
              <w:t xml:space="preserve">i e alla logistica distributiva, </w:t>
            </w:r>
            <w:r>
              <w:rPr>
                <w:rFonts w:ascii="Bookman Old Style" w:eastAsia="Times New Roman" w:hAnsi="Bookman Old Style" w:cs="Arial"/>
                <w:b/>
                <w:lang w:eastAsia="it-IT"/>
              </w:rPr>
              <w:t xml:space="preserve">alle tecnologie </w:t>
            </w:r>
            <w:r w:rsidRPr="009B3C03">
              <w:rPr>
                <w:rFonts w:ascii="Bookman Old Style" w:eastAsia="Times New Roman" w:hAnsi="Bookman Old Style" w:cs="Arial"/>
                <w:b/>
                <w:lang w:eastAsia="it-IT"/>
              </w:rPr>
              <w:t>dell’inf</w:t>
            </w:r>
            <w:r>
              <w:rPr>
                <w:rFonts w:ascii="Bookman Old Style" w:eastAsia="Times New Roman" w:hAnsi="Bookman Old Style" w:cs="Arial"/>
                <w:b/>
                <w:lang w:eastAsia="it-IT"/>
              </w:rPr>
              <w:t xml:space="preserve">ormazione e della comunicazione </w:t>
            </w:r>
            <w:r w:rsidRPr="009B3C03">
              <w:rPr>
                <w:rFonts w:ascii="Bookman Old Style" w:eastAsia="Times New Roman" w:hAnsi="Bookman Old Style" w:cs="Arial"/>
                <w:b/>
                <w:lang w:eastAsia="it-IT"/>
              </w:rPr>
              <w:t>nonché alle politiche e ai processi di gestion</w:t>
            </w:r>
            <w:r>
              <w:rPr>
                <w:rFonts w:ascii="Bookman Old Style" w:eastAsia="Times New Roman" w:hAnsi="Bookman Old Style" w:cs="Arial"/>
                <w:b/>
                <w:lang w:eastAsia="it-IT"/>
              </w:rPr>
              <w:t xml:space="preserve">e </w:t>
            </w:r>
            <w:r w:rsidRPr="009B3C03">
              <w:rPr>
                <w:rFonts w:ascii="Bookman Old Style" w:eastAsia="Times New Roman" w:hAnsi="Bookman Old Style" w:cs="Arial"/>
                <w:b/>
                <w:lang w:eastAsia="it-IT"/>
              </w:rPr>
              <w:t>delle risorse umane.</w:t>
            </w:r>
          </w:p>
        </w:tc>
        <w:tc>
          <w:tcPr>
            <w:tcW w:w="7122" w:type="dxa"/>
            <w:gridSpan w:val="2"/>
          </w:tcPr>
          <w:p w:rsidR="00F07B8A" w:rsidRPr="000778A2" w:rsidRDefault="00F07B8A" w:rsidP="00F07B8A">
            <w:pPr>
              <w:jc w:val="both"/>
              <w:rPr>
                <w:rFonts w:ascii="Bookman Old Style" w:hAnsi="Bookman Old Style"/>
                <w:i/>
                <w:color w:val="000000"/>
              </w:rPr>
            </w:pPr>
            <w:r w:rsidRPr="000778A2">
              <w:rPr>
                <w:rFonts w:ascii="Bookman Old Style" w:hAnsi="Bookman Old Style"/>
                <w:b/>
                <w:i/>
                <w:color w:val="000000"/>
              </w:rPr>
              <w:t>Comma 423</w:t>
            </w:r>
            <w:r w:rsidRPr="000778A2">
              <w:rPr>
                <w:rFonts w:ascii="Bookman Old Style" w:hAnsi="Bookman Old Style"/>
                <w:i/>
                <w:color w:val="000000"/>
              </w:rPr>
              <w:t xml:space="preserve"> - Logistica. La norma prevede che con Accordo da sancirsi in sede di Conferenza Stato-Regioni entro il 28 febbraio 2017 siano definite le attività da porre in essere per pervenire alla definizione di </w:t>
            </w:r>
            <w:r w:rsidRPr="000778A2">
              <w:rPr>
                <w:rFonts w:ascii="Bookman Old Style" w:hAnsi="Bookman Old Style"/>
                <w:i/>
                <w:color w:val="00000A"/>
              </w:rPr>
              <w:t xml:space="preserve">linee di indirizzo per </w:t>
            </w:r>
            <w:r w:rsidRPr="000778A2">
              <w:rPr>
                <w:rFonts w:ascii="Bookman Old Style" w:hAnsi="Bookman Old Style"/>
                <w:i/>
                <w:color w:val="000000"/>
              </w:rPr>
              <w:t>l’efficientamento e la definizione di standard con riferimento ai magazzini e alla logistica distributiva per il Servizio sanitario nazionale.</w:t>
            </w:r>
            <w:r>
              <w:rPr>
                <w:rFonts w:ascii="Bookman Old Style" w:hAnsi="Bookman Old Style"/>
                <w:i/>
                <w:color w:val="000000"/>
              </w:rPr>
              <w:t xml:space="preserve"> A queste materie la Camera ha aggiunto l’ICT e la gestione delle risorse umane.</w:t>
            </w:r>
          </w:p>
        </w:tc>
      </w:tr>
      <w:tr w:rsidR="00A40558" w:rsidTr="008856E3">
        <w:trPr>
          <w:gridAfter w:val="1"/>
          <w:wAfter w:w="150" w:type="dxa"/>
        </w:trPr>
        <w:tc>
          <w:tcPr>
            <w:tcW w:w="14277" w:type="dxa"/>
            <w:gridSpan w:val="4"/>
          </w:tcPr>
          <w:p w:rsidR="005E1323" w:rsidRDefault="005E1323" w:rsidP="00A40558">
            <w:pPr>
              <w:jc w:val="center"/>
              <w:rPr>
                <w:rFonts w:ascii="Bookman Old Style" w:hAnsi="Bookman Old Style"/>
                <w:b/>
                <w:i/>
                <w:color w:val="000000"/>
              </w:rPr>
            </w:pPr>
          </w:p>
          <w:p w:rsidR="00A40558" w:rsidRPr="000778A2" w:rsidRDefault="00A40558" w:rsidP="00A40558">
            <w:pPr>
              <w:jc w:val="center"/>
              <w:rPr>
                <w:rFonts w:ascii="Bookman Old Style" w:hAnsi="Bookman Old Style"/>
                <w:b/>
                <w:i/>
                <w:color w:val="000000"/>
              </w:rPr>
            </w:pPr>
            <w:r>
              <w:rPr>
                <w:rFonts w:ascii="Bookman Old Style" w:hAnsi="Bookman Old Style"/>
                <w:b/>
                <w:i/>
                <w:color w:val="000000"/>
              </w:rPr>
              <w:t>Attuazione Codice Appalti</w:t>
            </w:r>
          </w:p>
        </w:tc>
      </w:tr>
      <w:tr w:rsidR="00A40558" w:rsidRPr="00A40558" w:rsidTr="00481472">
        <w:trPr>
          <w:gridAfter w:val="1"/>
          <w:wAfter w:w="150" w:type="dxa"/>
        </w:trPr>
        <w:tc>
          <w:tcPr>
            <w:tcW w:w="7155" w:type="dxa"/>
            <w:gridSpan w:val="2"/>
          </w:tcPr>
          <w:p w:rsidR="00A40558" w:rsidRPr="00F95E70" w:rsidRDefault="00A40558" w:rsidP="00A40558">
            <w:pPr>
              <w:shd w:val="clear" w:color="auto" w:fill="FFFFFF"/>
              <w:jc w:val="both"/>
              <w:rPr>
                <w:rFonts w:ascii="Bookman Old Style" w:eastAsia="Times New Roman" w:hAnsi="Bookman Old Style" w:cs="Arial"/>
                <w:b/>
                <w:lang w:eastAsia="it-IT"/>
              </w:rPr>
            </w:pPr>
            <w:r w:rsidRPr="00F95E70">
              <w:rPr>
                <w:rFonts w:ascii="Bookman Old Style" w:hAnsi="Bookman Old Style"/>
                <w:b/>
                <w:color w:val="231F20"/>
              </w:rPr>
              <w:t>424. L’obbligo di approvazione del programma biennale degli acquisti di beni e servizi, di cui all’articolo 21 del decreto legislativo 18 aprile 2016, n. 50, in deroga alla</w:t>
            </w:r>
            <w:r w:rsidRPr="00F95E70">
              <w:rPr>
                <w:rFonts w:ascii="Bookman Old Style" w:hAnsi="Bookman Old Style"/>
                <w:b/>
                <w:color w:val="231F20"/>
              </w:rPr>
              <w:br/>
              <w:t>vigente normativa sugli allegati al bilancio degli enti locali, stabilita dal testo unico delle leggi sull’ordinamento degli enti locali, di cui al decreto legislativo 18 agosto 2000,</w:t>
            </w:r>
            <w:r w:rsidRPr="00F95E70">
              <w:rPr>
                <w:rFonts w:ascii="Bookman Old Style" w:hAnsi="Bookman Old Style"/>
                <w:b/>
                <w:color w:val="231F20"/>
              </w:rPr>
              <w:br/>
              <w:t>n. 267, e dal decreto legislativo 23 giugno</w:t>
            </w:r>
            <w:r w:rsidRPr="00F95E70">
              <w:rPr>
                <w:rFonts w:ascii="Bookman Old Style" w:hAnsi="Bookman Old Style"/>
                <w:b/>
                <w:color w:val="231F20"/>
              </w:rPr>
              <w:br/>
              <w:t>2011, n. 118, si applica a decorrere dal bilancio di previsione per l’esercizio finanziario 2018.</w:t>
            </w:r>
          </w:p>
        </w:tc>
        <w:tc>
          <w:tcPr>
            <w:tcW w:w="7122" w:type="dxa"/>
            <w:gridSpan w:val="2"/>
          </w:tcPr>
          <w:p w:rsidR="00A40558" w:rsidRPr="00A40558" w:rsidRDefault="00F95E70" w:rsidP="00A40558">
            <w:pPr>
              <w:pStyle w:val="NormaleWeb"/>
              <w:spacing w:before="0" w:beforeAutospacing="0" w:after="0" w:afterAutospacing="0"/>
              <w:jc w:val="both"/>
              <w:rPr>
                <w:rFonts w:ascii="Bookman Old Style" w:hAnsi="Bookman Old Style"/>
                <w:bCs/>
                <w:i/>
                <w:color w:val="000000"/>
                <w:sz w:val="22"/>
                <w:szCs w:val="22"/>
              </w:rPr>
            </w:pPr>
            <w:r>
              <w:rPr>
                <w:rFonts w:ascii="Bookman Old Style" w:hAnsi="Bookman Old Style"/>
                <w:b/>
                <w:i/>
                <w:color w:val="000000"/>
                <w:sz w:val="22"/>
                <w:szCs w:val="22"/>
              </w:rPr>
              <w:t xml:space="preserve">Il comma 424 </w:t>
            </w:r>
            <w:r w:rsidRPr="00F95E70">
              <w:rPr>
                <w:rFonts w:ascii="Bookman Old Style" w:hAnsi="Bookman Old Style"/>
                <w:i/>
                <w:color w:val="000000"/>
                <w:sz w:val="22"/>
                <w:szCs w:val="22"/>
              </w:rPr>
              <w:t>introdotto dalla Camera</w:t>
            </w:r>
            <w:r>
              <w:rPr>
                <w:rFonts w:ascii="Bookman Old Style" w:hAnsi="Bookman Old Style"/>
                <w:b/>
                <w:i/>
                <w:color w:val="000000"/>
                <w:sz w:val="22"/>
                <w:szCs w:val="22"/>
              </w:rPr>
              <w:t>, p</w:t>
            </w:r>
            <w:r w:rsidR="00A40558" w:rsidRPr="00A40558">
              <w:rPr>
                <w:rFonts w:ascii="Bookman Old Style" w:hAnsi="Bookman Old Style"/>
                <w:b/>
                <w:i/>
                <w:color w:val="000000"/>
                <w:sz w:val="22"/>
                <w:szCs w:val="22"/>
              </w:rPr>
              <w:t xml:space="preserve">osticipa al bilancio di previsione 2018, l’entrata in vigore dell’obbligo di approvazione del </w:t>
            </w:r>
            <w:r w:rsidR="00A40558" w:rsidRPr="00A40558">
              <w:rPr>
                <w:rFonts w:ascii="Bookman Old Style" w:hAnsi="Bookman Old Style"/>
                <w:b/>
                <w:bCs/>
                <w:i/>
                <w:color w:val="000000"/>
                <w:sz w:val="22"/>
                <w:szCs w:val="22"/>
              </w:rPr>
              <w:t>programma biennale degli acquisti di beni e servizi</w:t>
            </w:r>
            <w:r w:rsidR="00A40558" w:rsidRPr="00A40558">
              <w:rPr>
                <w:rFonts w:ascii="Bookman Old Style" w:hAnsi="Bookman Old Style"/>
                <w:bCs/>
                <w:i/>
                <w:color w:val="000000"/>
                <w:sz w:val="22"/>
                <w:szCs w:val="22"/>
              </w:rPr>
              <w:t xml:space="preserve"> di cui all’art. 21 del d. </w:t>
            </w:r>
            <w:proofErr w:type="spellStart"/>
            <w:r w:rsidR="00A40558" w:rsidRPr="00A40558">
              <w:rPr>
                <w:rFonts w:ascii="Bookman Old Style" w:hAnsi="Bookman Old Style"/>
                <w:bCs/>
                <w:i/>
                <w:color w:val="000000"/>
                <w:sz w:val="22"/>
                <w:szCs w:val="22"/>
              </w:rPr>
              <w:t>lgs</w:t>
            </w:r>
            <w:proofErr w:type="spellEnd"/>
            <w:r w:rsidR="00A40558" w:rsidRPr="00A40558">
              <w:rPr>
                <w:rFonts w:ascii="Bookman Old Style" w:hAnsi="Bookman Old Style"/>
                <w:bCs/>
                <w:i/>
                <w:color w:val="000000"/>
                <w:sz w:val="22"/>
                <w:szCs w:val="22"/>
              </w:rPr>
              <w:t xml:space="preserve"> 50/2016 (nuovo Codice appalti).</w:t>
            </w:r>
          </w:p>
          <w:p w:rsidR="00A40558" w:rsidRPr="00A40558" w:rsidRDefault="00A40558" w:rsidP="00A40558">
            <w:pPr>
              <w:jc w:val="both"/>
              <w:rPr>
                <w:rFonts w:ascii="Bookman Old Style" w:hAnsi="Bookman Old Style"/>
                <w:b/>
                <w:i/>
                <w:color w:val="000000"/>
              </w:rPr>
            </w:pPr>
          </w:p>
        </w:tc>
      </w:tr>
      <w:tr w:rsidR="00F07B8A" w:rsidTr="00481472">
        <w:trPr>
          <w:gridAfter w:val="1"/>
          <w:wAfter w:w="150" w:type="dxa"/>
        </w:trPr>
        <w:tc>
          <w:tcPr>
            <w:tcW w:w="14277" w:type="dxa"/>
            <w:gridSpan w:val="4"/>
          </w:tcPr>
          <w:p w:rsidR="00F07B8A" w:rsidRPr="000778A2" w:rsidRDefault="00FC47E0" w:rsidP="00F07B8A">
            <w:pPr>
              <w:jc w:val="center"/>
              <w:rPr>
                <w:rFonts w:ascii="Bookman Old Style" w:hAnsi="Bookman Old Style"/>
                <w:b/>
                <w:bCs/>
                <w:i/>
                <w:color w:val="000000"/>
              </w:rPr>
            </w:pPr>
            <w:r>
              <w:lastRenderedPageBreak/>
              <w:br w:type="page"/>
            </w:r>
            <w:r w:rsidR="00F07B8A" w:rsidRPr="000778A2">
              <w:rPr>
                <w:rFonts w:ascii="Bookman Old Style" w:hAnsi="Bookman Old Style"/>
                <w:b/>
                <w:bCs/>
                <w:i/>
                <w:color w:val="000000"/>
              </w:rPr>
              <w:t>ENTI TERRITORIALI</w:t>
            </w:r>
          </w:p>
          <w:p w:rsidR="00F07B8A" w:rsidRPr="000778A2" w:rsidRDefault="00F07B8A" w:rsidP="00F07B8A">
            <w:pPr>
              <w:jc w:val="center"/>
              <w:rPr>
                <w:rFonts w:ascii="Bookman Old Style" w:hAnsi="Bookman Old Style"/>
                <w:b/>
                <w:i/>
                <w:color w:val="000000"/>
              </w:rPr>
            </w:pPr>
            <w:r w:rsidRPr="000778A2">
              <w:rPr>
                <w:rFonts w:ascii="Bookman Old Style" w:hAnsi="Bookman Old Style"/>
                <w:b/>
                <w:bCs/>
                <w:i/>
                <w:color w:val="000000"/>
              </w:rPr>
              <w:t xml:space="preserve">Fondi a </w:t>
            </w:r>
            <w:r>
              <w:rPr>
                <w:rFonts w:ascii="Bookman Old Style" w:hAnsi="Bookman Old Style"/>
                <w:b/>
                <w:bCs/>
                <w:i/>
                <w:color w:val="000000"/>
              </w:rPr>
              <w:t xml:space="preserve">favore degli enti territoriali </w:t>
            </w: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433</w:t>
            </w:r>
            <w:r w:rsidRPr="00E847D3">
              <w:rPr>
                <w:rFonts w:ascii="Bookman Old Style" w:eastAsia="Times New Roman" w:hAnsi="Bookman Old Style" w:cs="Arial"/>
                <w:lang w:eastAsia="it-IT"/>
              </w:rPr>
              <w:t>. Nello stato di previsione della spesa del Ministero dell'economia e delle finanze è istituito un fondo, denominato «Fondo da ripartire per il finanziamento di interventi a favore degli Enti territoriali solo in termini di saldo netto da finanziare», alimentato dalle seguenti risorse:</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E64C89" w:rsidRDefault="00E64C89" w:rsidP="00F07B8A">
            <w:pPr>
              <w:shd w:val="clear" w:color="auto" w:fill="FFFFFF"/>
              <w:jc w:val="both"/>
              <w:rPr>
                <w:rFonts w:ascii="Bookman Old Style" w:eastAsia="Times New Roman" w:hAnsi="Bookman Old Style" w:cs="Arial"/>
                <w:lang w:eastAsia="it-IT"/>
              </w:rPr>
            </w:pPr>
          </w:p>
          <w:p w:rsidR="00E64C89" w:rsidRDefault="00E64C89"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le risorse in conto residui di cui al</w:t>
            </w:r>
            <w:r w:rsidRPr="00CF63B8">
              <w:rPr>
                <w:rFonts w:ascii="Bookman Old Style" w:eastAsia="Times New Roman" w:hAnsi="Bookman Old Style" w:cs="Arial"/>
                <w:lang w:eastAsia="it-IT"/>
              </w:rPr>
              <w:t> </w:t>
            </w:r>
            <w:hyperlink r:id="rId22" w:anchor="art11-com13" w:tgtFrame="rifNormativi" w:history="1">
              <w:r w:rsidRPr="00CF63B8">
                <w:rPr>
                  <w:rFonts w:ascii="Bookman Old Style" w:eastAsia="Times New Roman" w:hAnsi="Bookman Old Style" w:cs="Arial"/>
                  <w:lang w:eastAsia="it-IT"/>
                </w:rPr>
                <w:t>comma 13 dell'articolo 11 del decreto-legge 28 giugno 2013, n. 76</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23" w:tgtFrame="rifNormativi" w:history="1">
              <w:r w:rsidRPr="00CF63B8">
                <w:rPr>
                  <w:rFonts w:ascii="Bookman Old Style" w:eastAsia="Times New Roman" w:hAnsi="Bookman Old Style" w:cs="Arial"/>
                  <w:lang w:eastAsia="it-IT"/>
                </w:rPr>
                <w:t>legge 9 agosto 2013, n. 99</w:t>
              </w:r>
            </w:hyperlink>
            <w:r w:rsidRPr="00E847D3">
              <w:rPr>
                <w:rFonts w:ascii="Bookman Old Style" w:eastAsia="Times New Roman" w:hAnsi="Bookman Old Style" w:cs="Arial"/>
                <w:lang w:eastAsia="it-IT"/>
              </w:rPr>
              <w:t>, non erogate alla data di entrata in vigore della presente legge;</w:t>
            </w:r>
          </w:p>
          <w:p w:rsidR="00F07B8A" w:rsidRDefault="00F07B8A" w:rsidP="00F07B8A">
            <w:pPr>
              <w:shd w:val="clear" w:color="auto" w:fill="FFFFFF"/>
              <w:jc w:val="both"/>
              <w:rPr>
                <w:rFonts w:ascii="Bookman Old Style" w:eastAsia="Times New Roman" w:hAnsi="Bookman Old Style" w:cs="Arial"/>
                <w:lang w:eastAsia="it-IT"/>
              </w:rPr>
            </w:pPr>
          </w:p>
          <w:p w:rsidR="00E64C89" w:rsidRDefault="00E64C89"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le risorse in conto residui di cui all'</w:t>
            </w:r>
            <w:hyperlink r:id="rId24" w:anchor="art2" w:tgtFrame="rifNormativi" w:history="1">
              <w:r w:rsidRPr="00CF63B8">
                <w:rPr>
                  <w:rFonts w:ascii="Bookman Old Style" w:eastAsia="Times New Roman" w:hAnsi="Bookman Old Style" w:cs="Arial"/>
                  <w:lang w:eastAsia="it-IT"/>
                </w:rPr>
                <w:t>articolo 2 del decreto-legge 8 aprile 2013, n. 35</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25" w:tgtFrame="rifNormativi" w:history="1">
              <w:r w:rsidRPr="00CF63B8">
                <w:rPr>
                  <w:rFonts w:ascii="Bookman Old Style" w:eastAsia="Times New Roman" w:hAnsi="Bookman Old Style" w:cs="Arial"/>
                  <w:lang w:eastAsia="it-IT"/>
                </w:rPr>
                <w:t>legge 6 giugno 2013, n. 64</w:t>
              </w:r>
            </w:hyperlink>
            <w:r w:rsidRPr="00E847D3">
              <w:rPr>
                <w:rFonts w:ascii="Bookman Old Style" w:eastAsia="Times New Roman" w:hAnsi="Bookman Old Style" w:cs="Arial"/>
                <w:lang w:eastAsia="it-IT"/>
              </w:rPr>
              <w:t>, e successivi modificazioni e rifinanziamenti, ivi comprese le somme di cui al</w:t>
            </w:r>
            <w:r w:rsidRPr="00CF63B8">
              <w:rPr>
                <w:rFonts w:ascii="Bookman Old Style" w:eastAsia="Times New Roman" w:hAnsi="Bookman Old Style" w:cs="Arial"/>
                <w:lang w:eastAsia="it-IT"/>
              </w:rPr>
              <w:t> </w:t>
            </w:r>
            <w:hyperlink r:id="rId26" w:anchor="art8-com2" w:tgtFrame="rifNormativi" w:history="1">
              <w:r w:rsidRPr="00CF63B8">
                <w:rPr>
                  <w:rFonts w:ascii="Bookman Old Style" w:eastAsia="Times New Roman" w:hAnsi="Bookman Old Style" w:cs="Arial"/>
                  <w:lang w:eastAsia="it-IT"/>
                </w:rPr>
                <w:t>comma 2 dell'articolo 8 del decreto-legge 19 giugno 2015, n. 78</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27" w:tgtFrame="rifNormativi" w:history="1">
              <w:r w:rsidRPr="00CF63B8">
                <w:rPr>
                  <w:rFonts w:ascii="Bookman Old Style" w:eastAsia="Times New Roman" w:hAnsi="Bookman Old Style" w:cs="Arial"/>
                  <w:lang w:eastAsia="it-IT"/>
                </w:rPr>
                <w:t>legge 6 agosto 2015, n. 125</w:t>
              </w:r>
            </w:hyperlink>
            <w:r w:rsidRPr="00E847D3">
              <w:rPr>
                <w:rFonts w:ascii="Bookman Old Style" w:eastAsia="Times New Roman" w:hAnsi="Bookman Old Style" w:cs="Arial"/>
                <w:lang w:eastAsia="it-IT"/>
              </w:rPr>
              <w:t>, non erogate alla data di entrata in vigore della presente legge;</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lastRenderedPageBreak/>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le risorse in conto residui di cui all'</w:t>
            </w:r>
            <w:hyperlink r:id="rId28" w:anchor="art3" w:tgtFrame="rifNormativi" w:history="1">
              <w:r w:rsidRPr="00CF63B8">
                <w:rPr>
                  <w:rFonts w:ascii="Bookman Old Style" w:eastAsia="Times New Roman" w:hAnsi="Bookman Old Style" w:cs="Arial"/>
                  <w:lang w:eastAsia="it-IT"/>
                </w:rPr>
                <w:t>articolo 3 del decreto-legge 8 aprile 2013, n. 35</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29" w:tgtFrame="rifNormativi" w:history="1">
              <w:r w:rsidRPr="00CF63B8">
                <w:rPr>
                  <w:rFonts w:ascii="Bookman Old Style" w:eastAsia="Times New Roman" w:hAnsi="Bookman Old Style" w:cs="Arial"/>
                  <w:lang w:eastAsia="it-IT"/>
                </w:rPr>
                <w:t>legge 6 giugno 2013, n. 64</w:t>
              </w:r>
            </w:hyperlink>
            <w:r w:rsidRPr="00E847D3">
              <w:rPr>
                <w:rFonts w:ascii="Bookman Old Style" w:eastAsia="Times New Roman" w:hAnsi="Bookman Old Style" w:cs="Arial"/>
                <w:lang w:eastAsia="it-IT"/>
              </w:rPr>
              <w:t>, e rifinanziamenti, ivi comprese le quote funzionali all'attuazione dell'</w:t>
            </w:r>
            <w:hyperlink r:id="rId30" w:anchor="art35" w:tgtFrame="rifNormativi" w:history="1">
              <w:r w:rsidRPr="00CF63B8">
                <w:rPr>
                  <w:rFonts w:ascii="Bookman Old Style" w:eastAsia="Times New Roman" w:hAnsi="Bookman Old Style" w:cs="Arial"/>
                  <w:lang w:eastAsia="it-IT"/>
                </w:rPr>
                <w:t>articolo 35 del decreto-legge 24 aprile 2014, n. 66</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31" w:tgtFrame="rifNormativi" w:history="1">
              <w:r w:rsidRPr="00CF63B8">
                <w:rPr>
                  <w:rFonts w:ascii="Bookman Old Style" w:eastAsia="Times New Roman" w:hAnsi="Bookman Old Style" w:cs="Arial"/>
                  <w:lang w:eastAsia="it-IT"/>
                </w:rPr>
                <w:t>legge 23 giugno 2014, n. 89</w:t>
              </w:r>
            </w:hyperlink>
            <w:r w:rsidRPr="00E847D3">
              <w:rPr>
                <w:rFonts w:ascii="Bookman Old Style" w:eastAsia="Times New Roman" w:hAnsi="Bookman Old Style" w:cs="Arial"/>
                <w:lang w:eastAsia="it-IT"/>
              </w:rPr>
              <w:t>, non erogate alla data di entrata in vigore della presente legge;</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E847D3" w:rsidRDefault="00F07B8A" w:rsidP="00F07B8A">
            <w:pPr>
              <w:shd w:val="clear" w:color="auto" w:fill="FFFFFF"/>
              <w:jc w:val="both"/>
              <w:rPr>
                <w:rFonts w:ascii="Bookman Old Style" w:eastAsia="Times New Roman" w:hAnsi="Bookman Old Style" w:cs="Times New Roman"/>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le somme disponibili sulla contabilità speciale di cui all'</w:t>
            </w:r>
            <w:hyperlink r:id="rId32" w:anchor="art45-com2" w:tgtFrame="rifNormativi" w:history="1">
              <w:r w:rsidRPr="00CF63B8">
                <w:rPr>
                  <w:rFonts w:ascii="Bookman Old Style" w:eastAsia="Times New Roman" w:hAnsi="Bookman Old Style" w:cs="Arial"/>
                  <w:lang w:eastAsia="it-IT"/>
                </w:rPr>
                <w:t>articolo 45, comma 2, del decreto-legge 24 aprile 2014, n. 66</w:t>
              </w:r>
            </w:hyperlink>
            <w:r w:rsidRPr="00E847D3">
              <w:rPr>
                <w:rFonts w:ascii="Bookman Old Style" w:eastAsia="Times New Roman" w:hAnsi="Bookman Old Style" w:cs="Arial"/>
                <w:lang w:eastAsia="it-IT"/>
              </w:rPr>
              <w:t>,</w:t>
            </w:r>
            <w:r w:rsidRPr="00E847D3">
              <w:rPr>
                <w:rFonts w:ascii="Bookman Old Style" w:eastAsia="Times New Roman" w:hAnsi="Bookman Old Style" w:cs="Arial"/>
                <w:shd w:val="clear" w:color="auto" w:fill="FFFFFF"/>
                <w:lang w:eastAsia="it-IT"/>
              </w:rPr>
              <w:t>convertito, con modificazioni, dalla</w:t>
            </w:r>
            <w:r w:rsidRPr="00CF63B8">
              <w:rPr>
                <w:rFonts w:ascii="Bookman Old Style" w:eastAsia="Times New Roman" w:hAnsi="Bookman Old Style" w:cs="Arial"/>
                <w:lang w:eastAsia="it-IT"/>
              </w:rPr>
              <w:t> </w:t>
            </w:r>
            <w:hyperlink r:id="rId33" w:tgtFrame="rifNormativi" w:history="1">
              <w:r w:rsidRPr="00CF63B8">
                <w:rPr>
                  <w:rFonts w:ascii="Bookman Old Style" w:eastAsia="Times New Roman" w:hAnsi="Bookman Old Style" w:cs="Arial"/>
                  <w:lang w:eastAsia="it-IT"/>
                </w:rPr>
                <w:t>legge 23 giugno 2014, n. 89</w:t>
              </w:r>
            </w:hyperlink>
            <w:r w:rsidRPr="00E847D3">
              <w:rPr>
                <w:rFonts w:ascii="Bookman Old Style" w:eastAsia="Times New Roman" w:hAnsi="Bookman Old Style" w:cs="Arial"/>
                <w:shd w:val="clear" w:color="auto" w:fill="FFFFFF"/>
                <w:lang w:eastAsia="it-IT"/>
              </w:rPr>
              <w:t>, non utilizzate per le finalità di cui al medesimo articolo nonché di cui al</w:t>
            </w:r>
            <w:r w:rsidRPr="00CF63B8">
              <w:rPr>
                <w:rFonts w:ascii="Bookman Old Style" w:eastAsia="Times New Roman" w:hAnsi="Bookman Old Style" w:cs="Arial"/>
                <w:lang w:eastAsia="it-IT"/>
              </w:rPr>
              <w:t> </w:t>
            </w:r>
            <w:hyperlink r:id="rId34" w:anchor="art11-com2" w:tgtFrame="rifNormativi" w:history="1">
              <w:r w:rsidRPr="00CF63B8">
                <w:rPr>
                  <w:rFonts w:ascii="Bookman Old Style" w:eastAsia="Times New Roman" w:hAnsi="Bookman Old Style" w:cs="Arial"/>
                  <w:lang w:eastAsia="it-IT"/>
                </w:rPr>
                <w:t>comma 2 dell'articolo 11 del decreto-legge 24 giugno 2016, n. 113</w:t>
              </w:r>
            </w:hyperlink>
            <w:r w:rsidRPr="00E847D3">
              <w:rPr>
                <w:rFonts w:ascii="Bookman Old Style" w:eastAsia="Times New Roman" w:hAnsi="Bookman Old Style" w:cs="Arial"/>
                <w:shd w:val="clear" w:color="auto" w:fill="FFFFFF"/>
                <w:lang w:eastAsia="it-IT"/>
              </w:rPr>
              <w:t>, convertito, con modificazioni, dalla</w:t>
            </w:r>
            <w:r w:rsidRPr="00CF63B8">
              <w:rPr>
                <w:rFonts w:ascii="Bookman Old Style" w:eastAsia="Times New Roman" w:hAnsi="Bookman Old Style" w:cs="Arial"/>
                <w:lang w:eastAsia="it-IT"/>
              </w:rPr>
              <w:t> </w:t>
            </w:r>
            <w:hyperlink r:id="rId35" w:tgtFrame="rifNormativi" w:history="1">
              <w:r w:rsidRPr="00CF63B8">
                <w:rPr>
                  <w:rFonts w:ascii="Bookman Old Style" w:eastAsia="Times New Roman" w:hAnsi="Bookman Old Style" w:cs="Arial"/>
                  <w:lang w:eastAsia="it-IT"/>
                </w:rPr>
                <w:t>legge 7 agosto 2016, n. 160</w:t>
              </w:r>
            </w:hyperlink>
            <w:r w:rsidRPr="00E847D3">
              <w:rPr>
                <w:rFonts w:ascii="Bookman Old Style" w:eastAsia="Times New Roman" w:hAnsi="Bookman Old Style" w:cs="Arial"/>
                <w:shd w:val="clear" w:color="auto" w:fill="FFFFFF"/>
                <w:lang w:eastAsia="it-IT"/>
              </w:rPr>
              <w:t>, alla data del 31 dicembre 2016.</w:t>
            </w:r>
          </w:p>
          <w:p w:rsidR="00F07B8A" w:rsidRPr="00E847D3" w:rsidRDefault="00F07B8A" w:rsidP="00F07B8A">
            <w:pPr>
              <w:shd w:val="clear" w:color="auto" w:fill="FFFFFF"/>
              <w:jc w:val="both"/>
              <w:rPr>
                <w:rFonts w:ascii="Bookman Old Style" w:eastAsia="Times New Roman" w:hAnsi="Bookman Old Style" w:cs="Arial"/>
                <w:lang w:eastAsia="it-IT"/>
              </w:rPr>
            </w:pPr>
          </w:p>
        </w:tc>
        <w:tc>
          <w:tcPr>
            <w:tcW w:w="7139" w:type="dxa"/>
            <w:gridSpan w:val="3"/>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lastRenderedPageBreak/>
              <w:t>Si prevede l’istituzione di due fondi diretti a finanziare interventi in favore degli “enti territoriali”, quindi enti locali e regioni.</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Il primo fondo istituito dal </w:t>
            </w:r>
            <w:r w:rsidRPr="000778A2">
              <w:rPr>
                <w:rFonts w:ascii="Bookman Old Style" w:hAnsi="Bookman Old Style"/>
                <w:b/>
                <w:i/>
                <w:color w:val="000000"/>
              </w:rPr>
              <w:t>comma 433</w:t>
            </w:r>
            <w:r w:rsidRPr="000778A2">
              <w:rPr>
                <w:rFonts w:ascii="Bookman Old Style" w:hAnsi="Bookman Old Style"/>
                <w:i/>
                <w:color w:val="000000"/>
              </w:rPr>
              <w:t xml:space="preserve"> è costituito - come si evince già dalla sua denominazione - solo in termini di saldo netto da finanziare e determina oneri solo su tale saldo. Pertanto, come chiarito dal successivo comma 437, per la compensazione degli effetti in termini di indebitamento netto ciascun ente territoriale che beneficerà del Fondo sarà tenuto a conseguire un valore positivo del saldo di pareggio in misura pari alla quota delle risorse assegnate.</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Per quanto riguarda la composizione del Fondo, il comma 433 prevede che questo sia alimentato da </w:t>
            </w:r>
            <w:r w:rsidRPr="000778A2">
              <w:rPr>
                <w:rFonts w:ascii="Bookman Old Style" w:hAnsi="Bookman Old Style"/>
                <w:b/>
                <w:i/>
                <w:color w:val="000000"/>
              </w:rPr>
              <w:t>risorse iscritte in conto residui che non risultino erogate</w:t>
            </w:r>
            <w:r w:rsidRPr="000778A2">
              <w:rPr>
                <w:rFonts w:ascii="Bookman Old Style" w:hAnsi="Bookman Old Style"/>
                <w:i/>
                <w:color w:val="000000"/>
              </w:rPr>
              <w:t xml:space="preserve"> alla data di entrata in vigore della legge di bilancio, destinate al pagamento dei debiti della pubblica amministrazione e ad operazioni di ristrutturazione del debito delle regioni</w:t>
            </w:r>
            <w:r>
              <w:rPr>
                <w:rFonts w:ascii="Bookman Old Style" w:hAnsi="Bookman Old Style"/>
                <w:i/>
                <w:color w:val="000000"/>
              </w:rPr>
              <w:t xml:space="preserve"> </w:t>
            </w:r>
            <w:r w:rsidRPr="000778A2">
              <w:rPr>
                <w:rFonts w:ascii="Bookman Old Style" w:hAnsi="Bookman Old Style"/>
                <w:i/>
                <w:color w:val="000000"/>
              </w:rPr>
              <w:t xml:space="preserve">(quest’ultime non utilizzate dalle regioni alla data del 31 dicembre 2016). </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La dotazione complessiva del Fondo, secondo quanto riportato</w:t>
            </w:r>
            <w:r>
              <w:rPr>
                <w:rFonts w:ascii="Bookman Old Style" w:hAnsi="Bookman Old Style"/>
                <w:i/>
                <w:color w:val="000000"/>
              </w:rPr>
              <w:t xml:space="preserve"> </w:t>
            </w:r>
            <w:r w:rsidRPr="000778A2">
              <w:rPr>
                <w:rFonts w:ascii="Bookman Old Style" w:hAnsi="Bookman Old Style"/>
                <w:i/>
                <w:color w:val="000000"/>
              </w:rPr>
              <w:t xml:space="preserve">dalla Relazione illustrativa, dovrebbe ammontare a circa </w:t>
            </w:r>
            <w:r w:rsidRPr="000778A2">
              <w:rPr>
                <w:rFonts w:ascii="Bookman Old Style" w:hAnsi="Bookman Old Style"/>
                <w:b/>
                <w:i/>
                <w:color w:val="000000"/>
              </w:rPr>
              <w:t>1.992,4 milioni</w:t>
            </w:r>
            <w:r w:rsidRPr="000778A2">
              <w:rPr>
                <w:rFonts w:ascii="Bookman Old Style" w:hAnsi="Bookman Old Style"/>
                <w:i/>
                <w:color w:val="000000"/>
              </w:rPr>
              <w:t xml:space="preserve"> di euro di cui in particolare:</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a) 623,7 milioni provenienti dalle risorse in conto residui non utilizzate dalla Regione Campania e destinate al finanziamento del piano di rientro dal disavanzo nel settore del trasporto pubblico locale, ai sensi dell’art.11, comma 13, del dl 76/2013, convertito, con modificazioni, </w:t>
            </w:r>
            <w:r w:rsidRPr="000778A2">
              <w:rPr>
                <w:rFonts w:ascii="Bookman Old Style" w:eastAsia="Times New Roman" w:hAnsi="Bookman Old Style" w:cs="Arial"/>
                <w:i/>
                <w:lang w:eastAsia="it-IT"/>
              </w:rPr>
              <w:t>dalla </w:t>
            </w:r>
            <w:hyperlink r:id="rId36" w:tgtFrame="rifNormativi" w:history="1">
              <w:r w:rsidRPr="000778A2">
                <w:rPr>
                  <w:rFonts w:ascii="Bookman Old Style" w:eastAsia="Times New Roman" w:hAnsi="Bookman Old Style" w:cs="Arial"/>
                  <w:i/>
                  <w:lang w:eastAsia="it-IT"/>
                </w:rPr>
                <w:t>legge 9 agosto 2013, n. 99</w:t>
              </w:r>
            </w:hyperlink>
            <w:r w:rsidRPr="000778A2">
              <w:rPr>
                <w:i/>
              </w:rPr>
              <w:t>;</w:t>
            </w:r>
          </w:p>
          <w:p w:rsidR="00F07B8A" w:rsidRPr="000778A2" w:rsidRDefault="00F07B8A" w:rsidP="00F07B8A">
            <w:pPr>
              <w:jc w:val="both"/>
              <w:rPr>
                <w:rFonts w:ascii="Bookman Old Style" w:hAnsi="Bookman Old Style"/>
                <w:i/>
                <w:color w:val="000000"/>
              </w:rPr>
            </w:pP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b) 207, 6 milioni di euro derivanti dalle risorse in conto residui destinate al pagamento dei debiti delle regioni e delle province autonome, ai sensi dell’articolo 2 del dl 35/2013 e dell’articolo 8, comma 2, del dl 78/2015;</w:t>
            </w:r>
          </w:p>
          <w:p w:rsidR="00FC47E0" w:rsidRDefault="00FC47E0" w:rsidP="00F07B8A">
            <w:pPr>
              <w:jc w:val="both"/>
              <w:rPr>
                <w:rFonts w:ascii="Bookman Old Style" w:hAnsi="Bookman Old Style"/>
                <w:i/>
                <w:color w:val="000000"/>
              </w:rPr>
            </w:pPr>
          </w:p>
          <w:p w:rsidR="00E64C89" w:rsidRDefault="00E64C89" w:rsidP="00F07B8A">
            <w:pPr>
              <w:jc w:val="both"/>
              <w:rPr>
                <w:rFonts w:ascii="Bookman Old Style" w:hAnsi="Bookman Old Style"/>
                <w:i/>
                <w:color w:val="000000"/>
              </w:rPr>
            </w:pPr>
          </w:p>
          <w:p w:rsidR="00E64C89" w:rsidRDefault="00E64C89" w:rsidP="00F07B8A">
            <w:pPr>
              <w:jc w:val="both"/>
              <w:rPr>
                <w:rFonts w:ascii="Bookman Old Style" w:hAnsi="Bookman Old Style"/>
                <w:i/>
                <w:color w:val="000000"/>
              </w:rPr>
            </w:pPr>
          </w:p>
          <w:p w:rsidR="00E64C89" w:rsidRDefault="00E64C89" w:rsidP="00F07B8A">
            <w:pPr>
              <w:jc w:val="both"/>
              <w:rPr>
                <w:rFonts w:ascii="Bookman Old Style" w:hAnsi="Bookman Old Style"/>
                <w:i/>
                <w:color w:val="000000"/>
              </w:rPr>
            </w:pPr>
          </w:p>
          <w:p w:rsidR="00F07B8A" w:rsidRPr="000778A2" w:rsidRDefault="00F07B8A" w:rsidP="00FC47E0">
            <w:pPr>
              <w:widowControl w:val="0"/>
              <w:jc w:val="both"/>
              <w:rPr>
                <w:rFonts w:ascii="Bookman Old Style" w:hAnsi="Bookman Old Style"/>
                <w:i/>
                <w:color w:val="000000"/>
              </w:rPr>
            </w:pPr>
            <w:r w:rsidRPr="000778A2">
              <w:rPr>
                <w:rFonts w:ascii="Bookman Old Style" w:hAnsi="Bookman Old Style"/>
                <w:i/>
                <w:color w:val="000000"/>
              </w:rPr>
              <w:lastRenderedPageBreak/>
              <w:t>c) 491,1 milioni scaturenti dalle risorse in conto residui autorizzate e non utilizzate per il pagamento dei debiti del Servizio Sanitario Nazionale, ai sensi dell’articolo 3 del dl 35/2013;</w:t>
            </w:r>
          </w:p>
          <w:p w:rsidR="00F07B8A" w:rsidRPr="000778A2" w:rsidRDefault="00F07B8A" w:rsidP="00F07B8A">
            <w:pPr>
              <w:jc w:val="both"/>
              <w:rPr>
                <w:rFonts w:ascii="Bookman Old Style" w:hAnsi="Bookman Old Style"/>
                <w:i/>
                <w:color w:val="000000"/>
              </w:rPr>
            </w:pPr>
          </w:p>
          <w:p w:rsidR="00F07B8A" w:rsidRDefault="00F07B8A" w:rsidP="00F07B8A">
            <w:pPr>
              <w:jc w:val="both"/>
              <w:rPr>
                <w:rFonts w:ascii="Bookman Old Style" w:hAnsi="Bookman Old Style"/>
                <w:i/>
                <w:color w:val="000000"/>
              </w:rPr>
            </w:pPr>
          </w:p>
          <w:p w:rsidR="00E64C89" w:rsidRDefault="00E64C89" w:rsidP="00F07B8A">
            <w:pPr>
              <w:jc w:val="both"/>
              <w:rPr>
                <w:rFonts w:ascii="Bookman Old Style" w:hAnsi="Bookman Old Style"/>
                <w:i/>
                <w:color w:val="000000"/>
              </w:rPr>
            </w:pPr>
          </w:p>
          <w:p w:rsidR="00E64C89" w:rsidRPr="000778A2" w:rsidRDefault="00E64C89" w:rsidP="00F07B8A">
            <w:pPr>
              <w:jc w:val="both"/>
              <w:rPr>
                <w:rFonts w:ascii="Bookman Old Style" w:hAnsi="Bookman Old Style"/>
                <w:i/>
                <w:color w:val="000000"/>
              </w:rPr>
            </w:pP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hAnsi="Bookman Old Style"/>
                <w:i/>
                <w:color w:val="000000"/>
              </w:rPr>
              <w:t>d) 670 milioni derivanti dalle somme disponibili sulla contabilità speciale istituita ai sensi  dell’</w:t>
            </w:r>
            <w:hyperlink r:id="rId37" w:anchor="art45-com2" w:tgtFrame="rifNormativi" w:history="1">
              <w:r w:rsidRPr="000778A2">
                <w:rPr>
                  <w:rFonts w:ascii="Bookman Old Style" w:eastAsia="Times New Roman" w:hAnsi="Bookman Old Style" w:cs="Arial"/>
                  <w:i/>
                  <w:lang w:eastAsia="it-IT"/>
                </w:rPr>
                <w:t>articolo 45, comma 2, del decreto-legge 24 aprile 2014, n. 66</w:t>
              </w:r>
            </w:hyperlink>
            <w:r w:rsidRPr="000778A2">
              <w:rPr>
                <w:rFonts w:ascii="Bookman Old Style" w:eastAsia="Times New Roman" w:hAnsi="Bookman Old Style" w:cs="Arial"/>
                <w:i/>
                <w:lang w:eastAsia="it-IT"/>
              </w:rPr>
              <w:t xml:space="preserve">, destinate alla ristrutturazione del debito delle regioni e non utilizzate – differentemente che per le risorse di cui alla lettera a), b) e c) per la definizione delle quali vale la data di entrata in vigore della legge di bilancio – alla data del 31 dicembre 2016. </w:t>
            </w: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b/>
                <w:lang w:eastAsia="it-IT"/>
              </w:rPr>
            </w:pPr>
            <w:r w:rsidRPr="00322103">
              <w:rPr>
                <w:rFonts w:ascii="Bookman Old Style" w:eastAsia="Times New Roman" w:hAnsi="Bookman Old Style" w:cs="Arial"/>
                <w:b/>
                <w:lang w:eastAsia="it-IT"/>
              </w:rPr>
              <w:lastRenderedPageBreak/>
              <w:t xml:space="preserve">434. Il </w:t>
            </w:r>
            <w:r>
              <w:rPr>
                <w:rFonts w:ascii="Bookman Old Style" w:eastAsia="Times New Roman" w:hAnsi="Bookman Old Style" w:cs="Arial"/>
                <w:b/>
                <w:lang w:eastAsia="it-IT"/>
              </w:rPr>
              <w:t xml:space="preserve">comma 714 dell’articolo 1 della </w:t>
            </w:r>
            <w:r w:rsidRPr="00322103">
              <w:rPr>
                <w:rFonts w:ascii="Bookman Old Style" w:eastAsia="Times New Roman" w:hAnsi="Bookman Old Style" w:cs="Arial"/>
                <w:b/>
                <w:lang w:eastAsia="it-IT"/>
              </w:rPr>
              <w:t>legge 28 dice</w:t>
            </w:r>
            <w:r>
              <w:rPr>
                <w:rFonts w:ascii="Bookman Old Style" w:eastAsia="Times New Roman" w:hAnsi="Bookman Old Style" w:cs="Arial"/>
                <w:b/>
                <w:lang w:eastAsia="it-IT"/>
              </w:rPr>
              <w:t xml:space="preserve">mbre 2015, n. 208, è sostituito </w:t>
            </w:r>
            <w:r w:rsidRPr="00322103">
              <w:rPr>
                <w:rFonts w:ascii="Bookman Old Style" w:eastAsia="Times New Roman" w:hAnsi="Bookman Old Style" w:cs="Arial"/>
                <w:b/>
                <w:lang w:eastAsia="it-IT"/>
              </w:rPr>
              <w:t>dal seguente:</w:t>
            </w:r>
          </w:p>
          <w:p w:rsidR="00F07B8A" w:rsidRPr="00322103" w:rsidRDefault="00F07B8A" w:rsidP="00F07B8A">
            <w:pPr>
              <w:shd w:val="clear" w:color="auto" w:fill="FFFFFF"/>
              <w:jc w:val="both"/>
              <w:rPr>
                <w:rFonts w:ascii="Bookman Old Style" w:eastAsia="Times New Roman" w:hAnsi="Bookman Old Style" w:cs="Arial"/>
                <w:b/>
                <w:lang w:eastAsia="it-IT"/>
              </w:rPr>
            </w:pPr>
          </w:p>
          <w:p w:rsidR="00F07B8A" w:rsidRPr="00322103" w:rsidRDefault="00F07B8A" w:rsidP="00F07B8A">
            <w:pPr>
              <w:shd w:val="clear" w:color="auto" w:fill="FFFFFF"/>
              <w:jc w:val="both"/>
              <w:rPr>
                <w:rFonts w:ascii="Bookman Old Style" w:eastAsia="Times New Roman" w:hAnsi="Bookman Old Style" w:cs="Arial"/>
                <w:b/>
                <w:lang w:eastAsia="it-IT"/>
              </w:rPr>
            </w:pPr>
            <w:r w:rsidRPr="00322103">
              <w:rPr>
                <w:rFonts w:ascii="Bookman Old Style" w:eastAsia="Times New Roman" w:hAnsi="Bookman Old Style" w:cs="Arial"/>
                <w:b/>
                <w:lang w:eastAsia="it-IT"/>
              </w:rPr>
              <w:t>« 714. Ferm</w:t>
            </w:r>
            <w:r>
              <w:rPr>
                <w:rFonts w:ascii="Bookman Old Style" w:eastAsia="Times New Roman" w:hAnsi="Bookman Old Style" w:cs="Arial"/>
                <w:b/>
                <w:lang w:eastAsia="it-IT"/>
              </w:rPr>
              <w:t xml:space="preserve">i restando i tempi di pagamento </w:t>
            </w:r>
            <w:r w:rsidRPr="00322103">
              <w:rPr>
                <w:rFonts w:ascii="Bookman Old Style" w:eastAsia="Times New Roman" w:hAnsi="Bookman Old Style" w:cs="Arial"/>
                <w:b/>
                <w:lang w:eastAsia="it-IT"/>
              </w:rPr>
              <w:t>dei</w:t>
            </w:r>
            <w:r>
              <w:rPr>
                <w:rFonts w:ascii="Bookman Old Style" w:eastAsia="Times New Roman" w:hAnsi="Bookman Old Style" w:cs="Arial"/>
                <w:b/>
                <w:lang w:eastAsia="it-IT"/>
              </w:rPr>
              <w:t xml:space="preserve"> creditori, gli enti locali che </w:t>
            </w:r>
            <w:r w:rsidRPr="00322103">
              <w:rPr>
                <w:rFonts w:ascii="Bookman Old Style" w:eastAsia="Times New Roman" w:hAnsi="Bookman Old Style" w:cs="Arial"/>
                <w:b/>
                <w:lang w:eastAsia="it-IT"/>
              </w:rPr>
              <w:t>hanno pres</w:t>
            </w:r>
            <w:r>
              <w:rPr>
                <w:rFonts w:ascii="Bookman Old Style" w:eastAsia="Times New Roman" w:hAnsi="Bookman Old Style" w:cs="Arial"/>
                <w:b/>
                <w:lang w:eastAsia="it-IT"/>
              </w:rPr>
              <w:t xml:space="preserve">entato il piano di riequilibrio </w:t>
            </w:r>
            <w:r w:rsidRPr="00322103">
              <w:rPr>
                <w:rFonts w:ascii="Bookman Old Style" w:eastAsia="Times New Roman" w:hAnsi="Bookman Old Style" w:cs="Arial"/>
                <w:b/>
                <w:lang w:eastAsia="it-IT"/>
              </w:rPr>
              <w:t>finanziario pluriennale o ne</w:t>
            </w:r>
            <w:r>
              <w:rPr>
                <w:rFonts w:ascii="Bookman Old Style" w:eastAsia="Times New Roman" w:hAnsi="Bookman Old Style" w:cs="Arial"/>
                <w:b/>
                <w:lang w:eastAsia="it-IT"/>
              </w:rPr>
              <w:t xml:space="preserve"> hanno conseguito </w:t>
            </w:r>
            <w:r w:rsidRPr="00322103">
              <w:rPr>
                <w:rFonts w:ascii="Bookman Old Style" w:eastAsia="Times New Roman" w:hAnsi="Bookman Old Style" w:cs="Arial"/>
                <w:b/>
                <w:lang w:eastAsia="it-IT"/>
              </w:rPr>
              <w:t>l’appr</w:t>
            </w:r>
            <w:r>
              <w:rPr>
                <w:rFonts w:ascii="Bookman Old Style" w:eastAsia="Times New Roman" w:hAnsi="Bookman Old Style" w:cs="Arial"/>
                <w:b/>
                <w:lang w:eastAsia="it-IT"/>
              </w:rPr>
              <w:t xml:space="preserve">ovazione ai sensi dell’articolo </w:t>
            </w:r>
            <w:r w:rsidRPr="00322103">
              <w:rPr>
                <w:rFonts w:ascii="Bookman Old Style" w:eastAsia="Times New Roman" w:hAnsi="Bookman Old Style" w:cs="Arial"/>
                <w:b/>
                <w:lang w:eastAsia="it-IT"/>
              </w:rPr>
              <w:t>243-bis de</w:t>
            </w:r>
            <w:r>
              <w:rPr>
                <w:rFonts w:ascii="Bookman Old Style" w:eastAsia="Times New Roman" w:hAnsi="Bookman Old Style" w:cs="Arial"/>
                <w:b/>
                <w:lang w:eastAsia="it-IT"/>
              </w:rPr>
              <w:t xml:space="preserve">l testo unico di cui al decreto </w:t>
            </w:r>
            <w:r w:rsidRPr="00322103">
              <w:rPr>
                <w:rFonts w:ascii="Bookman Old Style" w:eastAsia="Times New Roman" w:hAnsi="Bookman Old Style" w:cs="Arial"/>
                <w:b/>
                <w:lang w:eastAsia="it-IT"/>
              </w:rPr>
              <w:t>legislativ</w:t>
            </w:r>
            <w:r>
              <w:rPr>
                <w:rFonts w:ascii="Bookman Old Style" w:eastAsia="Times New Roman" w:hAnsi="Bookman Old Style" w:cs="Arial"/>
                <w:b/>
                <w:lang w:eastAsia="it-IT"/>
              </w:rPr>
              <w:t xml:space="preserve">o 18 agosto 2000, n. 267, prima </w:t>
            </w:r>
            <w:r w:rsidRPr="00322103">
              <w:rPr>
                <w:rFonts w:ascii="Bookman Old Style" w:eastAsia="Times New Roman" w:hAnsi="Bookman Old Style" w:cs="Arial"/>
                <w:b/>
                <w:lang w:eastAsia="it-IT"/>
              </w:rPr>
              <w:t>dell’approvazione</w:t>
            </w:r>
            <w:r>
              <w:rPr>
                <w:rFonts w:ascii="Bookman Old Style" w:eastAsia="Times New Roman" w:hAnsi="Bookman Old Style" w:cs="Arial"/>
                <w:b/>
                <w:lang w:eastAsia="it-IT"/>
              </w:rPr>
              <w:t xml:space="preserve"> del rendiconto per l’esercizio </w:t>
            </w:r>
            <w:r w:rsidRPr="00322103">
              <w:rPr>
                <w:rFonts w:ascii="Bookman Old Style" w:eastAsia="Times New Roman" w:hAnsi="Bookman Old Style" w:cs="Arial"/>
                <w:b/>
                <w:lang w:eastAsia="it-IT"/>
              </w:rPr>
              <w:t>2014, s</w:t>
            </w:r>
            <w:r>
              <w:rPr>
                <w:rFonts w:ascii="Bookman Old Style" w:eastAsia="Times New Roman" w:hAnsi="Bookman Old Style" w:cs="Arial"/>
                <w:b/>
                <w:lang w:eastAsia="it-IT"/>
              </w:rPr>
              <w:t xml:space="preserve">e alla data della presentazione </w:t>
            </w:r>
            <w:r w:rsidRPr="00322103">
              <w:rPr>
                <w:rFonts w:ascii="Bookman Old Style" w:eastAsia="Times New Roman" w:hAnsi="Bookman Old Style" w:cs="Arial"/>
                <w:b/>
                <w:lang w:eastAsia="it-IT"/>
              </w:rPr>
              <w:t>o dell’approvazione del mede</w:t>
            </w:r>
            <w:r>
              <w:rPr>
                <w:rFonts w:ascii="Bookman Old Style" w:eastAsia="Times New Roman" w:hAnsi="Bookman Old Style" w:cs="Arial"/>
                <w:b/>
                <w:lang w:eastAsia="it-IT"/>
              </w:rPr>
              <w:t xml:space="preserve">simo </w:t>
            </w:r>
            <w:r w:rsidRPr="00322103">
              <w:rPr>
                <w:rFonts w:ascii="Bookman Old Style" w:eastAsia="Times New Roman" w:hAnsi="Bookman Old Style" w:cs="Arial"/>
                <w:b/>
                <w:lang w:eastAsia="it-IT"/>
              </w:rPr>
              <w:t>piano di riequ</w:t>
            </w:r>
            <w:r>
              <w:rPr>
                <w:rFonts w:ascii="Bookman Old Style" w:eastAsia="Times New Roman" w:hAnsi="Bookman Old Style" w:cs="Arial"/>
                <w:b/>
                <w:lang w:eastAsia="it-IT"/>
              </w:rPr>
              <w:t xml:space="preserve">ilibrio finanziario pluriennale </w:t>
            </w:r>
            <w:r w:rsidRPr="00322103">
              <w:rPr>
                <w:rFonts w:ascii="Bookman Old Style" w:eastAsia="Times New Roman" w:hAnsi="Bookman Old Style" w:cs="Arial"/>
                <w:b/>
                <w:lang w:eastAsia="it-IT"/>
              </w:rPr>
              <w:t>n</w:t>
            </w:r>
            <w:r>
              <w:rPr>
                <w:rFonts w:ascii="Bookman Old Style" w:eastAsia="Times New Roman" w:hAnsi="Bookman Old Style" w:cs="Arial"/>
                <w:b/>
                <w:lang w:eastAsia="it-IT"/>
              </w:rPr>
              <w:t xml:space="preserve">on avevano ancora provveduto ad </w:t>
            </w:r>
            <w:r w:rsidRPr="00322103">
              <w:rPr>
                <w:rFonts w:ascii="Bookman Old Style" w:eastAsia="Times New Roman" w:hAnsi="Bookman Old Style" w:cs="Arial"/>
                <w:b/>
                <w:lang w:eastAsia="it-IT"/>
              </w:rPr>
              <w:t xml:space="preserve">effettuare </w:t>
            </w:r>
            <w:r>
              <w:rPr>
                <w:rFonts w:ascii="Bookman Old Style" w:eastAsia="Times New Roman" w:hAnsi="Bookman Old Style" w:cs="Arial"/>
                <w:b/>
                <w:lang w:eastAsia="it-IT"/>
              </w:rPr>
              <w:t xml:space="preserve">il riaccertamento straordinario </w:t>
            </w:r>
            <w:r w:rsidRPr="00322103">
              <w:rPr>
                <w:rFonts w:ascii="Bookman Old Style" w:eastAsia="Times New Roman" w:hAnsi="Bookman Old Style" w:cs="Arial"/>
                <w:b/>
                <w:lang w:eastAsia="it-IT"/>
              </w:rPr>
              <w:t>dei residui attiv</w:t>
            </w:r>
            <w:r>
              <w:rPr>
                <w:rFonts w:ascii="Bookman Old Style" w:eastAsia="Times New Roman" w:hAnsi="Bookman Old Style" w:cs="Arial"/>
                <w:b/>
                <w:lang w:eastAsia="it-IT"/>
              </w:rPr>
              <w:t xml:space="preserve">i e passivi di cui all’articolo </w:t>
            </w:r>
            <w:r w:rsidRPr="00322103">
              <w:rPr>
                <w:rFonts w:ascii="Bookman Old Style" w:eastAsia="Times New Roman" w:hAnsi="Bookman Old Style" w:cs="Arial"/>
                <w:b/>
                <w:lang w:eastAsia="it-IT"/>
              </w:rPr>
              <w:t>3, comm</w:t>
            </w:r>
            <w:r>
              <w:rPr>
                <w:rFonts w:ascii="Bookman Old Style" w:eastAsia="Times New Roman" w:hAnsi="Bookman Old Style" w:cs="Arial"/>
                <w:b/>
                <w:lang w:eastAsia="it-IT"/>
              </w:rPr>
              <w:t xml:space="preserve">a 7, del decreto legislativo 23 </w:t>
            </w:r>
            <w:r w:rsidRPr="00322103">
              <w:rPr>
                <w:rFonts w:ascii="Bookman Old Style" w:eastAsia="Times New Roman" w:hAnsi="Bookman Old Style" w:cs="Arial"/>
                <w:b/>
                <w:lang w:eastAsia="it-IT"/>
              </w:rPr>
              <w:t>giugno 2011, n. 118, possono rimodulare o</w:t>
            </w:r>
            <w:r>
              <w:rPr>
                <w:rFonts w:ascii="Bookman Old Style" w:eastAsia="Times New Roman" w:hAnsi="Bookman Old Style" w:cs="Arial"/>
                <w:b/>
                <w:lang w:eastAsia="it-IT"/>
              </w:rPr>
              <w:t xml:space="preserve"> </w:t>
            </w:r>
            <w:r w:rsidRPr="00322103">
              <w:rPr>
                <w:rFonts w:ascii="Bookman Old Style" w:eastAsia="Times New Roman" w:hAnsi="Bookman Old Style" w:cs="Arial"/>
                <w:b/>
                <w:lang w:eastAsia="it-IT"/>
              </w:rPr>
              <w:t>riformulare</w:t>
            </w:r>
            <w:r>
              <w:rPr>
                <w:rFonts w:ascii="Bookman Old Style" w:eastAsia="Times New Roman" w:hAnsi="Bookman Old Style" w:cs="Arial"/>
                <w:b/>
                <w:lang w:eastAsia="it-IT"/>
              </w:rPr>
              <w:t xml:space="preserve"> il predetto piano, entro il 31 </w:t>
            </w:r>
            <w:r w:rsidRPr="00322103">
              <w:rPr>
                <w:rFonts w:ascii="Bookman Old Style" w:eastAsia="Times New Roman" w:hAnsi="Bookman Old Style" w:cs="Arial"/>
                <w:b/>
                <w:lang w:eastAsia="it-IT"/>
              </w:rPr>
              <w:t>maggio 2017, sc</w:t>
            </w:r>
            <w:r>
              <w:rPr>
                <w:rFonts w:ascii="Bookman Old Style" w:eastAsia="Times New Roman" w:hAnsi="Bookman Old Style" w:cs="Arial"/>
                <w:b/>
                <w:lang w:eastAsia="it-IT"/>
              </w:rPr>
              <w:t xml:space="preserve">orporando la quota di disavanzo </w:t>
            </w:r>
            <w:r w:rsidRPr="00322103">
              <w:rPr>
                <w:rFonts w:ascii="Bookman Old Style" w:eastAsia="Times New Roman" w:hAnsi="Bookman Old Style" w:cs="Arial"/>
                <w:b/>
                <w:lang w:eastAsia="it-IT"/>
              </w:rPr>
              <w:t>risultant</w:t>
            </w:r>
            <w:r>
              <w:rPr>
                <w:rFonts w:ascii="Bookman Old Style" w:eastAsia="Times New Roman" w:hAnsi="Bookman Old Style" w:cs="Arial"/>
                <w:b/>
                <w:lang w:eastAsia="it-IT"/>
              </w:rPr>
              <w:t xml:space="preserve">e dalla revisione straordinaria </w:t>
            </w:r>
            <w:r w:rsidRPr="00322103">
              <w:rPr>
                <w:rFonts w:ascii="Bookman Old Style" w:eastAsia="Times New Roman" w:hAnsi="Bookman Old Style" w:cs="Arial"/>
                <w:b/>
                <w:lang w:eastAsia="it-IT"/>
              </w:rPr>
              <w:t>dei resid</w:t>
            </w:r>
            <w:r>
              <w:rPr>
                <w:rFonts w:ascii="Bookman Old Style" w:eastAsia="Times New Roman" w:hAnsi="Bookman Old Style" w:cs="Arial"/>
                <w:b/>
                <w:lang w:eastAsia="it-IT"/>
              </w:rPr>
              <w:t xml:space="preserve">ui di cui all’articolo 243-bis, </w:t>
            </w:r>
            <w:r w:rsidRPr="00322103">
              <w:rPr>
                <w:rFonts w:ascii="Bookman Old Style" w:eastAsia="Times New Roman" w:hAnsi="Bookman Old Style" w:cs="Arial"/>
                <w:b/>
                <w:lang w:eastAsia="it-IT"/>
              </w:rPr>
              <w:t>comma 8, lette</w:t>
            </w:r>
            <w:r>
              <w:rPr>
                <w:rFonts w:ascii="Bookman Old Style" w:eastAsia="Times New Roman" w:hAnsi="Bookman Old Style" w:cs="Arial"/>
                <w:b/>
                <w:lang w:eastAsia="it-IT"/>
              </w:rPr>
              <w:t xml:space="preserve">ra e), limitatamente ai residui </w:t>
            </w:r>
            <w:r w:rsidRPr="00322103">
              <w:rPr>
                <w:rFonts w:ascii="Bookman Old Style" w:eastAsia="Times New Roman" w:hAnsi="Bookman Old Style" w:cs="Arial"/>
                <w:b/>
                <w:lang w:eastAsia="it-IT"/>
              </w:rPr>
              <w:t>an</w:t>
            </w:r>
            <w:r>
              <w:rPr>
                <w:rFonts w:ascii="Bookman Old Style" w:eastAsia="Times New Roman" w:hAnsi="Bookman Old Style" w:cs="Arial"/>
                <w:b/>
                <w:lang w:eastAsia="it-IT"/>
              </w:rPr>
              <w:t xml:space="preserve">tecedenti al 1° gennaio 2015, e </w:t>
            </w:r>
            <w:r w:rsidRPr="00322103">
              <w:rPr>
                <w:rFonts w:ascii="Bookman Old Style" w:eastAsia="Times New Roman" w:hAnsi="Bookman Old Style" w:cs="Arial"/>
                <w:b/>
                <w:lang w:eastAsia="it-IT"/>
              </w:rPr>
              <w:t>ripianando</w:t>
            </w:r>
            <w:r>
              <w:rPr>
                <w:rFonts w:ascii="Bookman Old Style" w:eastAsia="Times New Roman" w:hAnsi="Bookman Old Style" w:cs="Arial"/>
                <w:b/>
                <w:lang w:eastAsia="it-IT"/>
              </w:rPr>
              <w:t xml:space="preserve"> tale quota secondo le modalità </w:t>
            </w:r>
            <w:r w:rsidRPr="00322103">
              <w:rPr>
                <w:rFonts w:ascii="Bookman Old Style" w:eastAsia="Times New Roman" w:hAnsi="Bookman Old Style" w:cs="Arial"/>
                <w:b/>
                <w:lang w:eastAsia="it-IT"/>
              </w:rPr>
              <w:t>previste dal decr</w:t>
            </w:r>
            <w:r>
              <w:rPr>
                <w:rFonts w:ascii="Bookman Old Style" w:eastAsia="Times New Roman" w:hAnsi="Bookman Old Style" w:cs="Arial"/>
                <w:b/>
                <w:lang w:eastAsia="it-IT"/>
              </w:rPr>
              <w:t xml:space="preserve">eto del </w:t>
            </w:r>
            <w:r>
              <w:rPr>
                <w:rFonts w:ascii="Bookman Old Style" w:eastAsia="Times New Roman" w:hAnsi="Bookman Old Style" w:cs="Arial"/>
                <w:b/>
                <w:lang w:eastAsia="it-IT"/>
              </w:rPr>
              <w:lastRenderedPageBreak/>
              <w:t xml:space="preserve">Ministero dell’economia </w:t>
            </w:r>
            <w:r w:rsidRPr="00322103">
              <w:rPr>
                <w:rFonts w:ascii="Bookman Old Style" w:eastAsia="Times New Roman" w:hAnsi="Bookman Old Style" w:cs="Arial"/>
                <w:b/>
                <w:lang w:eastAsia="it-IT"/>
              </w:rPr>
              <w:t>e delle fi</w:t>
            </w:r>
            <w:r>
              <w:rPr>
                <w:rFonts w:ascii="Bookman Old Style" w:eastAsia="Times New Roman" w:hAnsi="Bookman Old Style" w:cs="Arial"/>
                <w:b/>
                <w:lang w:eastAsia="it-IT"/>
              </w:rPr>
              <w:t xml:space="preserve">nanze 2 aprile 2015, pubblicato </w:t>
            </w:r>
            <w:r w:rsidRPr="00322103">
              <w:rPr>
                <w:rFonts w:ascii="Bookman Old Style" w:eastAsia="Times New Roman" w:hAnsi="Bookman Old Style" w:cs="Arial"/>
                <w:b/>
                <w:lang w:eastAsia="it-IT"/>
              </w:rPr>
              <w:t xml:space="preserve">nella </w:t>
            </w:r>
            <w:r>
              <w:rPr>
                <w:rFonts w:ascii="Bookman Old Style" w:eastAsia="Times New Roman" w:hAnsi="Bookman Old Style" w:cs="Arial"/>
                <w:b/>
                <w:lang w:eastAsia="it-IT"/>
              </w:rPr>
              <w:t xml:space="preserve">Gazzetta Ufficiale n. 89 del 17 </w:t>
            </w:r>
            <w:r w:rsidRPr="00322103">
              <w:rPr>
                <w:rFonts w:ascii="Bookman Old Style" w:eastAsia="Times New Roman" w:hAnsi="Bookman Old Style" w:cs="Arial"/>
                <w:b/>
                <w:lang w:eastAsia="it-IT"/>
              </w:rPr>
              <w:t>aprile 2015. La restituzione delle anticipazioni</w:t>
            </w:r>
            <w:r>
              <w:rPr>
                <w:rFonts w:ascii="Bookman Old Style" w:eastAsia="Times New Roman" w:hAnsi="Bookman Old Style" w:cs="Arial"/>
                <w:b/>
                <w:lang w:eastAsia="it-IT"/>
              </w:rPr>
              <w:t xml:space="preserve"> </w:t>
            </w:r>
            <w:r w:rsidRPr="00322103">
              <w:rPr>
                <w:rFonts w:ascii="Bookman Old Style" w:eastAsia="Times New Roman" w:hAnsi="Bookman Old Style" w:cs="Arial"/>
                <w:b/>
                <w:lang w:eastAsia="it-IT"/>
              </w:rPr>
              <w:t>di liquidità erogate agli enti di cui al</w:t>
            </w:r>
            <w:r>
              <w:rPr>
                <w:rFonts w:ascii="Bookman Old Style" w:eastAsia="Times New Roman" w:hAnsi="Bookman Old Style" w:cs="Arial"/>
                <w:b/>
                <w:lang w:eastAsia="it-IT"/>
              </w:rPr>
              <w:t xml:space="preserve"> </w:t>
            </w:r>
            <w:r w:rsidRPr="00322103">
              <w:rPr>
                <w:rFonts w:ascii="Bookman Old Style" w:eastAsia="Times New Roman" w:hAnsi="Bookman Old Style" w:cs="Arial"/>
                <w:b/>
                <w:lang w:eastAsia="it-IT"/>
              </w:rPr>
              <w:t>periodo prec</w:t>
            </w:r>
            <w:r>
              <w:rPr>
                <w:rFonts w:ascii="Bookman Old Style" w:eastAsia="Times New Roman" w:hAnsi="Bookman Old Style" w:cs="Arial"/>
                <w:b/>
                <w:lang w:eastAsia="it-IT"/>
              </w:rPr>
              <w:t xml:space="preserve">edente, ai sensi degli articoli </w:t>
            </w:r>
            <w:r w:rsidRPr="00322103">
              <w:rPr>
                <w:rFonts w:ascii="Bookman Old Style" w:eastAsia="Times New Roman" w:hAnsi="Bookman Old Style" w:cs="Arial"/>
                <w:b/>
                <w:lang w:eastAsia="it-IT"/>
              </w:rPr>
              <w:t>243-ter e</w:t>
            </w:r>
            <w:r>
              <w:rPr>
                <w:rFonts w:ascii="Bookman Old Style" w:eastAsia="Times New Roman" w:hAnsi="Bookman Old Style" w:cs="Arial"/>
                <w:b/>
                <w:lang w:eastAsia="it-IT"/>
              </w:rPr>
              <w:t xml:space="preserve"> 243-quinquies del citato testo </w:t>
            </w:r>
            <w:r w:rsidRPr="00322103">
              <w:rPr>
                <w:rFonts w:ascii="Bookman Old Style" w:eastAsia="Times New Roman" w:hAnsi="Bookman Old Style" w:cs="Arial"/>
                <w:b/>
                <w:lang w:eastAsia="it-IT"/>
              </w:rPr>
              <w:t>unico di cu</w:t>
            </w:r>
            <w:r>
              <w:rPr>
                <w:rFonts w:ascii="Bookman Old Style" w:eastAsia="Times New Roman" w:hAnsi="Bookman Old Style" w:cs="Arial"/>
                <w:b/>
                <w:lang w:eastAsia="it-IT"/>
              </w:rPr>
              <w:t xml:space="preserve">i al decreto </w:t>
            </w:r>
            <w:r w:rsidRPr="00D64C05">
              <w:rPr>
                <w:rFonts w:ascii="Bookman Old Style" w:eastAsia="Times New Roman" w:hAnsi="Bookman Old Style" w:cs="Arial"/>
                <w:b/>
                <w:lang w:eastAsia="it-IT"/>
              </w:rPr>
              <w:t>legislativo n. 267 del 2000, è effettuata in un periodo massimo di trenta anni decorrente dall’anno successivo a quello in cui è stata erogata l’anticipazione. A decorrere dalla data di rimodulazione o riformulazione del piano, gli enti di cui ai periodi precedenti presentano alla Commissione di cui all’articolo 155 del medesimo testo unico di cui al decreto legislativo n. 267 del 2000 apposita attestazione del rispetto dei tempi di pagamento di cui alla direttiva 2011/7/UE del Parlamento europeo e del Consiglio, del 16 febbraio 2011».</w:t>
            </w:r>
          </w:p>
        </w:tc>
        <w:tc>
          <w:tcPr>
            <w:tcW w:w="7139" w:type="dxa"/>
            <w:gridSpan w:val="3"/>
          </w:tcPr>
          <w:p w:rsidR="00F07B8A" w:rsidRPr="005706B2" w:rsidRDefault="00F07B8A" w:rsidP="00F07B8A">
            <w:pPr>
              <w:jc w:val="both"/>
              <w:rPr>
                <w:rFonts w:ascii="Bookman Old Style" w:hAnsi="Bookman Old Style"/>
                <w:i/>
              </w:rPr>
            </w:pPr>
            <w:r w:rsidRPr="00FC47E0">
              <w:rPr>
                <w:rFonts w:ascii="Bookman Old Style" w:hAnsi="Bookman Old Style"/>
                <w:b/>
                <w:i/>
              </w:rPr>
              <w:lastRenderedPageBreak/>
              <w:t>I commi 434, 435 e 436</w:t>
            </w:r>
            <w:r w:rsidRPr="005706B2">
              <w:rPr>
                <w:rFonts w:ascii="Bookman Old Style" w:hAnsi="Bookman Old Style"/>
                <w:i/>
              </w:rPr>
              <w:t xml:space="preserve">, introdotti dalla Camera dei Deputati, modificano, in più punti, la normativa relativa agli enti locali che hanno avviato </w:t>
            </w:r>
            <w:r w:rsidRPr="00F21FD7">
              <w:rPr>
                <w:rFonts w:ascii="Bookman Old Style" w:hAnsi="Bookman Old Style"/>
                <w:b/>
                <w:i/>
              </w:rPr>
              <w:t>la procedura di riequilibrio finanziario pluriennale (c.d. pre-dissesto).</w:t>
            </w:r>
          </w:p>
          <w:p w:rsidR="00F07B8A" w:rsidRDefault="00F07B8A" w:rsidP="00F07B8A">
            <w:pPr>
              <w:jc w:val="both"/>
              <w:rPr>
                <w:rFonts w:ascii="Bookman Old Style" w:hAnsi="Bookman Old Style"/>
                <w:i/>
              </w:rPr>
            </w:pPr>
            <w:r w:rsidRPr="005706B2">
              <w:rPr>
                <w:rFonts w:ascii="Bookman Old Style" w:hAnsi="Bookman Old Style"/>
                <w:i/>
              </w:rPr>
              <w:t xml:space="preserve">In particolare, il </w:t>
            </w:r>
            <w:r w:rsidRPr="005706B2">
              <w:rPr>
                <w:rFonts w:ascii="Bookman Old Style" w:hAnsi="Bookman Old Style"/>
                <w:b/>
                <w:i/>
              </w:rPr>
              <w:t xml:space="preserve">comma 434 </w:t>
            </w:r>
            <w:r>
              <w:rPr>
                <w:rFonts w:ascii="Bookman Old Style" w:hAnsi="Bookman Old Style"/>
                <w:i/>
              </w:rPr>
              <w:t>riformula</w:t>
            </w:r>
            <w:r w:rsidRPr="005706B2">
              <w:rPr>
                <w:rFonts w:ascii="Bookman Old Style" w:hAnsi="Bookman Old Style"/>
                <w:i/>
              </w:rPr>
              <w:t xml:space="preserve"> l’articolo 1, comma 714, delle Legge n. 208 del 2015 (Legge di stabilità 2016) in base al quale gli enti locali che dal 2013 al 2015 hanno presentato il piano di riequilibrio finanziario pluriennale di cui all’articolo 243-</w:t>
            </w:r>
            <w:r w:rsidRPr="005706B2">
              <w:rPr>
                <w:rFonts w:ascii="Bookman Old Style" w:hAnsi="Bookman Old Style"/>
                <w:i/>
                <w:iCs/>
              </w:rPr>
              <w:t xml:space="preserve">bis </w:t>
            </w:r>
            <w:r w:rsidRPr="005706B2">
              <w:rPr>
                <w:rFonts w:ascii="Bookman Old Style" w:hAnsi="Bookman Old Style"/>
                <w:i/>
              </w:rPr>
              <w:t xml:space="preserve">del </w:t>
            </w:r>
            <w:r>
              <w:rPr>
                <w:rFonts w:ascii="Bookman Old Style" w:hAnsi="Bookman Old Style"/>
                <w:i/>
              </w:rPr>
              <w:t>TUEL o</w:t>
            </w:r>
            <w:r w:rsidRPr="005706B2">
              <w:rPr>
                <w:rFonts w:ascii="Bookman Old Style" w:hAnsi="Bookman Old Style"/>
                <w:i/>
              </w:rPr>
              <w:t xml:space="preserve"> che ne abbiano conseguito l’approvazione, possono ripianare la quota di disavanzo app</w:t>
            </w:r>
            <w:r>
              <w:rPr>
                <w:rFonts w:ascii="Bookman Old Style" w:hAnsi="Bookman Old Style"/>
                <w:i/>
              </w:rPr>
              <w:t>licata</w:t>
            </w:r>
            <w:r w:rsidRPr="005706B2">
              <w:rPr>
                <w:rFonts w:ascii="Bookman Old Style" w:hAnsi="Bookman Old Style"/>
                <w:i/>
              </w:rPr>
              <w:t xml:space="preserve"> al predetto </w:t>
            </w:r>
            <w:r>
              <w:rPr>
                <w:rFonts w:ascii="Bookman Old Style" w:hAnsi="Bookman Old Style"/>
                <w:i/>
              </w:rPr>
              <w:t xml:space="preserve">piano di riequilibrio </w:t>
            </w:r>
            <w:r w:rsidRPr="005706B2">
              <w:rPr>
                <w:rFonts w:ascii="Bookman Old Style" w:hAnsi="Bookman Old Style"/>
                <w:i/>
              </w:rPr>
              <w:t>secondo le modalità previste dal decreto del Ministero dell'economia e delle finanze 2 aprile 2015.</w:t>
            </w:r>
          </w:p>
          <w:p w:rsidR="00F07B8A" w:rsidRPr="009012C3" w:rsidRDefault="00F07B8A" w:rsidP="00FC47E0">
            <w:pPr>
              <w:jc w:val="both"/>
              <w:rPr>
                <w:rFonts w:ascii="Bookman Old Style" w:eastAsia="Times New Roman" w:hAnsi="Bookman Old Style" w:cs="Arial"/>
                <w:i/>
                <w:lang w:eastAsia="it-IT"/>
              </w:rPr>
            </w:pPr>
            <w:r w:rsidRPr="005706B2">
              <w:rPr>
                <w:rFonts w:ascii="Bookman Old Style" w:hAnsi="Bookman Old Style"/>
                <w:i/>
              </w:rPr>
              <w:t xml:space="preserve">La nuova formulazione del </w:t>
            </w:r>
            <w:r>
              <w:rPr>
                <w:rFonts w:ascii="Bookman Old Style" w:hAnsi="Bookman Old Style"/>
                <w:i/>
              </w:rPr>
              <w:t xml:space="preserve">citato </w:t>
            </w:r>
            <w:r w:rsidRPr="005706B2">
              <w:rPr>
                <w:rFonts w:ascii="Bookman Old Style" w:hAnsi="Bookman Old Style"/>
                <w:i/>
              </w:rPr>
              <w:t>comma 714</w:t>
            </w:r>
            <w:r>
              <w:rPr>
                <w:rFonts w:ascii="Bookman Old Style" w:hAnsi="Bookman Old Style"/>
                <w:i/>
              </w:rPr>
              <w:t>, recependo</w:t>
            </w:r>
            <w:r w:rsidRPr="005706B2">
              <w:rPr>
                <w:rFonts w:ascii="Bookman Old Style" w:hAnsi="Bookman Old Style"/>
                <w:i/>
              </w:rPr>
              <w:t xml:space="preserve"> una proposta sostenuta da Anci</w:t>
            </w:r>
            <w:r>
              <w:rPr>
                <w:rFonts w:ascii="Bookman Old Style" w:hAnsi="Bookman Old Style"/>
                <w:i/>
              </w:rPr>
              <w:t xml:space="preserve">, </w:t>
            </w:r>
            <w:r w:rsidRPr="005706B2">
              <w:rPr>
                <w:rFonts w:ascii="Bookman Old Style" w:eastAsiaTheme="minorEastAsia" w:hAnsi="Bookman Old Style"/>
                <w:i/>
                <w:lang w:eastAsia="it-IT"/>
              </w:rPr>
              <w:t xml:space="preserve">rende omogenee, con particolare riferimento all’arco temporale previsto per il ripiano (30 anni), la procedura di riequilibrio finanziario pluriennale di cui all’art. 243-bis, comma 8, lett. e) del TUEL, e l’art. 3, comma 7 del decreto legislativo 23 giugno 2011, n. 118. Infatti, la modifica approvata prevede che, </w:t>
            </w:r>
            <w:r w:rsidRPr="005706B2">
              <w:rPr>
                <w:rFonts w:ascii="Bookman Old Style" w:hAnsi="Bookman Old Style"/>
                <w:i/>
              </w:rPr>
              <w:t>f</w:t>
            </w:r>
            <w:r w:rsidRPr="005706B2">
              <w:rPr>
                <w:rFonts w:ascii="Bookman Old Style" w:eastAsia="Times New Roman" w:hAnsi="Bookman Old Style" w:cs="Arial"/>
                <w:i/>
                <w:lang w:eastAsia="it-IT"/>
              </w:rPr>
              <w:t>ermi restando i tempi di pagamento dei creditori, gli enti locali che hanno presentato</w:t>
            </w:r>
            <w:r>
              <w:rPr>
                <w:rFonts w:ascii="Bookman Old Style" w:eastAsia="Times New Roman" w:hAnsi="Bookman Old Style" w:cs="Arial"/>
                <w:i/>
                <w:lang w:eastAsia="it-IT"/>
              </w:rPr>
              <w:t xml:space="preserve"> o che hanno avuto approvato il </w:t>
            </w:r>
            <w:r w:rsidRPr="005706B2">
              <w:rPr>
                <w:rFonts w:ascii="Bookman Old Style" w:eastAsia="Times New Roman" w:hAnsi="Bookman Old Style" w:cs="Arial"/>
                <w:i/>
                <w:lang w:eastAsia="it-IT"/>
              </w:rPr>
              <w:lastRenderedPageBreak/>
              <w:t xml:space="preserve">piano di riequilibrio finanziario pluriennale prima dell’approvazione del rendiconto per l’esercizio 2014, se alla data della presentazione o dell’approvazione del medesimo piano non avevano ancora provveduto ad effettuare il riaccertamento straordinario dei residui attivi e passivi possono rimodulare o riformulare il predetto piano, entro il 31 maggio 2017, scorporando la quota di disavanzo risultante dalla </w:t>
            </w:r>
            <w:r>
              <w:rPr>
                <w:rFonts w:ascii="Bookman Old Style" w:eastAsia="Times New Roman" w:hAnsi="Bookman Old Style" w:cs="Arial"/>
                <w:i/>
                <w:lang w:eastAsia="it-IT"/>
              </w:rPr>
              <w:t xml:space="preserve">citata </w:t>
            </w:r>
            <w:r w:rsidRPr="005706B2">
              <w:rPr>
                <w:rFonts w:ascii="Bookman Old Style" w:eastAsia="Times New Roman" w:hAnsi="Bookman Old Style" w:cs="Arial"/>
                <w:i/>
                <w:lang w:eastAsia="it-IT"/>
              </w:rPr>
              <w:t>revisione straordinaria dei residui limitatamente ai residui an</w:t>
            </w:r>
            <w:r>
              <w:rPr>
                <w:rFonts w:ascii="Bookman Old Style" w:eastAsia="Times New Roman" w:hAnsi="Bookman Old Style" w:cs="Arial"/>
                <w:i/>
                <w:lang w:eastAsia="it-IT"/>
              </w:rPr>
              <w:t xml:space="preserve">tecedenti al 1° gennaio 2015 </w:t>
            </w:r>
            <w:r w:rsidRPr="005706B2">
              <w:rPr>
                <w:rFonts w:ascii="Bookman Old Style" w:eastAsia="Times New Roman" w:hAnsi="Bookman Old Style" w:cs="Arial"/>
                <w:i/>
                <w:lang w:eastAsia="it-IT"/>
              </w:rPr>
              <w:t>e ripianando tale quota secondo le modalità previste dal decreto del Ministero dell’economia e delle fi</w:t>
            </w:r>
            <w:r>
              <w:rPr>
                <w:rFonts w:ascii="Bookman Old Style" w:eastAsia="Times New Roman" w:hAnsi="Bookman Old Style" w:cs="Arial"/>
                <w:i/>
                <w:lang w:eastAsia="it-IT"/>
              </w:rPr>
              <w:t xml:space="preserve">nanze del 2 aprile 2015. </w:t>
            </w:r>
            <w:r w:rsidRPr="005706B2">
              <w:rPr>
                <w:rFonts w:ascii="Bookman Old Style" w:eastAsia="Times New Roman" w:hAnsi="Bookman Old Style" w:cs="Arial"/>
                <w:i/>
                <w:lang w:eastAsia="it-IT"/>
              </w:rPr>
              <w:t xml:space="preserve">La restituzione delle anticipazioni di liquidità erogate agli enti locali interessati è effettuata in un periodo massimo di trenta anni decorrente dall’anno successivo a quello in cui è stata erogata l’anticipazione. A decorrere dalla data di rimodulazione o riformulazione del piano, gli enti locali presentano alla Commissione </w:t>
            </w:r>
            <w:r w:rsidR="00FC47E0" w:rsidRPr="00FC47E0">
              <w:rPr>
                <w:rFonts w:ascii="Bookman Old Style" w:eastAsia="Times New Roman" w:hAnsi="Bookman Old Style"/>
                <w:i/>
                <w:lang w:eastAsia="it-IT"/>
              </w:rPr>
              <w:t>per la stabilità finanziaria </w:t>
            </w:r>
            <w:r w:rsidR="00FC47E0">
              <w:rPr>
                <w:rFonts w:ascii="Bookman Old Style" w:eastAsia="Times New Roman" w:hAnsi="Bookman Old Style"/>
                <w:i/>
                <w:lang w:eastAsia="it-IT"/>
              </w:rPr>
              <w:t xml:space="preserve">degli enti locali </w:t>
            </w:r>
            <w:r w:rsidRPr="005706B2">
              <w:rPr>
                <w:rFonts w:ascii="Bookman Old Style" w:eastAsia="Times New Roman" w:hAnsi="Bookman Old Style" w:cs="Arial"/>
                <w:i/>
                <w:lang w:eastAsia="it-IT"/>
              </w:rPr>
              <w:t>di cui all’ar</w:t>
            </w:r>
            <w:r>
              <w:rPr>
                <w:rFonts w:ascii="Bookman Old Style" w:eastAsia="Times New Roman" w:hAnsi="Bookman Old Style" w:cs="Arial"/>
                <w:i/>
                <w:lang w:eastAsia="it-IT"/>
              </w:rPr>
              <w:t xml:space="preserve">ticolo 155 del TUEL, </w:t>
            </w:r>
            <w:r w:rsidRPr="005706B2">
              <w:rPr>
                <w:rFonts w:ascii="Bookman Old Style" w:eastAsia="Times New Roman" w:hAnsi="Bookman Old Style" w:cs="Arial"/>
                <w:i/>
                <w:lang w:eastAsia="it-IT"/>
              </w:rPr>
              <w:t>apposita attestazione del rispetto dei tempi di pagamento prevista dalla normativa europea.</w:t>
            </w:r>
          </w:p>
        </w:tc>
      </w:tr>
      <w:tr w:rsidR="00F07B8A" w:rsidTr="00086B81">
        <w:trPr>
          <w:gridAfter w:val="1"/>
          <w:wAfter w:w="150" w:type="dxa"/>
        </w:trPr>
        <w:tc>
          <w:tcPr>
            <w:tcW w:w="7138" w:type="dxa"/>
          </w:tcPr>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lastRenderedPageBreak/>
              <w:t>435. Ferm</w:t>
            </w:r>
            <w:r>
              <w:rPr>
                <w:rFonts w:ascii="Bookman Old Style" w:eastAsia="Times New Roman" w:hAnsi="Bookman Old Style" w:cs="Arial"/>
                <w:b/>
                <w:lang w:eastAsia="it-IT"/>
              </w:rPr>
              <w:t xml:space="preserve">i restando i tempi di pagamento </w:t>
            </w:r>
            <w:r w:rsidRPr="009059BD">
              <w:rPr>
                <w:rFonts w:ascii="Bookman Old Style" w:eastAsia="Times New Roman" w:hAnsi="Bookman Old Style" w:cs="Arial"/>
                <w:b/>
                <w:lang w:eastAsia="it-IT"/>
              </w:rPr>
              <w:t>dei</w:t>
            </w:r>
            <w:r>
              <w:rPr>
                <w:rFonts w:ascii="Bookman Old Style" w:eastAsia="Times New Roman" w:hAnsi="Bookman Old Style" w:cs="Arial"/>
                <w:b/>
                <w:lang w:eastAsia="it-IT"/>
              </w:rPr>
              <w:t xml:space="preserve"> creditori, gli enti locali che </w:t>
            </w:r>
            <w:r w:rsidRPr="009059BD">
              <w:rPr>
                <w:rFonts w:ascii="Bookman Old Style" w:eastAsia="Times New Roman" w:hAnsi="Bookman Old Style" w:cs="Arial"/>
                <w:b/>
                <w:lang w:eastAsia="it-IT"/>
              </w:rPr>
              <w:t>hanno proced</w:t>
            </w:r>
            <w:r>
              <w:rPr>
                <w:rFonts w:ascii="Bookman Old Style" w:eastAsia="Times New Roman" w:hAnsi="Bookman Old Style" w:cs="Arial"/>
                <w:b/>
                <w:lang w:eastAsia="it-IT"/>
              </w:rPr>
              <w:t xml:space="preserve">uto alla revisione dei residui, </w:t>
            </w:r>
            <w:r w:rsidRPr="009059BD">
              <w:rPr>
                <w:rFonts w:ascii="Bookman Old Style" w:eastAsia="Times New Roman" w:hAnsi="Bookman Old Style" w:cs="Arial"/>
                <w:b/>
                <w:lang w:eastAsia="it-IT"/>
              </w:rPr>
              <w:t>per effe</w:t>
            </w:r>
            <w:r>
              <w:rPr>
                <w:rFonts w:ascii="Bookman Old Style" w:eastAsia="Times New Roman" w:hAnsi="Bookman Old Style" w:cs="Arial"/>
                <w:b/>
                <w:lang w:eastAsia="it-IT"/>
              </w:rPr>
              <w:t xml:space="preserve">tto di espressa pronuncia della </w:t>
            </w:r>
            <w:r w:rsidRPr="009059BD">
              <w:rPr>
                <w:rFonts w:ascii="Bookman Old Style" w:eastAsia="Times New Roman" w:hAnsi="Bookman Old Style" w:cs="Arial"/>
                <w:b/>
                <w:lang w:eastAsia="it-IT"/>
              </w:rPr>
              <w:t xml:space="preserve">Corte dei </w:t>
            </w:r>
            <w:r>
              <w:rPr>
                <w:rFonts w:ascii="Bookman Old Style" w:eastAsia="Times New Roman" w:hAnsi="Bookman Old Style" w:cs="Arial"/>
                <w:b/>
                <w:lang w:eastAsia="it-IT"/>
              </w:rPr>
              <w:t xml:space="preserve">conti, nel corso degli esercizi </w:t>
            </w:r>
            <w:r w:rsidRPr="009059BD">
              <w:rPr>
                <w:rFonts w:ascii="Bookman Old Style" w:eastAsia="Times New Roman" w:hAnsi="Bookman Old Style" w:cs="Arial"/>
                <w:b/>
                <w:lang w:eastAsia="it-IT"/>
              </w:rPr>
              <w:t>2012, 2</w:t>
            </w:r>
            <w:r>
              <w:rPr>
                <w:rFonts w:ascii="Bookman Old Style" w:eastAsia="Times New Roman" w:hAnsi="Bookman Old Style" w:cs="Arial"/>
                <w:b/>
                <w:lang w:eastAsia="it-IT"/>
              </w:rPr>
              <w:t xml:space="preserve">013 o 2014, antecedentemente al </w:t>
            </w:r>
            <w:r w:rsidRPr="009059BD">
              <w:rPr>
                <w:rFonts w:ascii="Bookman Old Style" w:eastAsia="Times New Roman" w:hAnsi="Bookman Old Style" w:cs="Arial"/>
                <w:b/>
                <w:lang w:eastAsia="it-IT"/>
              </w:rPr>
              <w:t>riaccertamento st</w:t>
            </w:r>
            <w:r>
              <w:rPr>
                <w:rFonts w:ascii="Bookman Old Style" w:eastAsia="Times New Roman" w:hAnsi="Bookman Old Style" w:cs="Arial"/>
                <w:b/>
                <w:lang w:eastAsia="it-IT"/>
              </w:rPr>
              <w:t xml:space="preserve">raordinario di cui all’articolo </w:t>
            </w:r>
            <w:r w:rsidRPr="009059BD">
              <w:rPr>
                <w:rFonts w:ascii="Bookman Old Style" w:eastAsia="Times New Roman" w:hAnsi="Bookman Old Style" w:cs="Arial"/>
                <w:b/>
                <w:lang w:eastAsia="it-IT"/>
              </w:rPr>
              <w:t>3, comm</w:t>
            </w:r>
            <w:r>
              <w:rPr>
                <w:rFonts w:ascii="Bookman Old Style" w:eastAsia="Times New Roman" w:hAnsi="Bookman Old Style" w:cs="Arial"/>
                <w:b/>
                <w:lang w:eastAsia="it-IT"/>
              </w:rPr>
              <w:t>a 7, del decreto legislativo 23</w:t>
            </w:r>
            <w:r w:rsidRPr="009059BD">
              <w:rPr>
                <w:rFonts w:ascii="Bookman Old Style" w:eastAsia="Times New Roman" w:hAnsi="Bookman Old Style" w:cs="Arial"/>
                <w:b/>
                <w:lang w:eastAsia="it-IT"/>
              </w:rPr>
              <w:t>giugn</w:t>
            </w:r>
            <w:r>
              <w:rPr>
                <w:rFonts w:ascii="Bookman Old Style" w:eastAsia="Times New Roman" w:hAnsi="Bookman Old Style" w:cs="Arial"/>
                <w:b/>
                <w:lang w:eastAsia="it-IT"/>
              </w:rPr>
              <w:t xml:space="preserve">o 2011, n. 118, determinando un </w:t>
            </w:r>
            <w:r w:rsidRPr="009059BD">
              <w:rPr>
                <w:rFonts w:ascii="Bookman Old Style" w:eastAsia="Times New Roman" w:hAnsi="Bookman Old Style" w:cs="Arial"/>
                <w:b/>
                <w:lang w:eastAsia="it-IT"/>
              </w:rPr>
              <w:t>piano triennale di copertura del disavanzo</w:t>
            </w:r>
            <w:r>
              <w:rPr>
                <w:rFonts w:ascii="Bookman Old Style" w:eastAsia="Times New Roman" w:hAnsi="Bookman Old Style" w:cs="Arial"/>
                <w:b/>
                <w:lang w:eastAsia="it-IT"/>
              </w:rPr>
              <w:t xml:space="preserve"> </w:t>
            </w:r>
            <w:r w:rsidRPr="009059BD">
              <w:rPr>
                <w:rFonts w:ascii="Bookman Old Style" w:eastAsia="Times New Roman" w:hAnsi="Bookman Old Style" w:cs="Arial"/>
                <w:b/>
                <w:lang w:eastAsia="it-IT"/>
              </w:rPr>
              <w:t>riscontrato,</w:t>
            </w:r>
            <w:r>
              <w:rPr>
                <w:rFonts w:ascii="Bookman Old Style" w:eastAsia="Times New Roman" w:hAnsi="Bookman Old Style" w:cs="Arial"/>
                <w:b/>
                <w:lang w:eastAsia="it-IT"/>
              </w:rPr>
              <w:t xml:space="preserve"> ai sensi dell’articolo 193 del </w:t>
            </w:r>
            <w:r w:rsidRPr="009059BD">
              <w:rPr>
                <w:rFonts w:ascii="Bookman Old Style" w:eastAsia="Times New Roman" w:hAnsi="Bookman Old Style" w:cs="Arial"/>
                <w:b/>
                <w:lang w:eastAsia="it-IT"/>
              </w:rPr>
              <w:t>testo unico del</w:t>
            </w:r>
            <w:r>
              <w:rPr>
                <w:rFonts w:ascii="Bookman Old Style" w:eastAsia="Times New Roman" w:hAnsi="Bookman Old Style" w:cs="Arial"/>
                <w:b/>
                <w:lang w:eastAsia="it-IT"/>
              </w:rPr>
              <w:t xml:space="preserve">le leggi sull’ordinamento degli </w:t>
            </w:r>
            <w:r w:rsidRPr="009059BD">
              <w:rPr>
                <w:rFonts w:ascii="Bookman Old Style" w:eastAsia="Times New Roman" w:hAnsi="Bookman Old Style" w:cs="Arial"/>
                <w:b/>
                <w:lang w:eastAsia="it-IT"/>
              </w:rPr>
              <w:t>enti locali</w:t>
            </w:r>
            <w:r>
              <w:rPr>
                <w:rFonts w:ascii="Bookman Old Style" w:eastAsia="Times New Roman" w:hAnsi="Bookman Old Style" w:cs="Arial"/>
                <w:b/>
                <w:lang w:eastAsia="it-IT"/>
              </w:rPr>
              <w:t xml:space="preserve">, di cui al decreto legislativo </w:t>
            </w:r>
            <w:r w:rsidRPr="009059BD">
              <w:rPr>
                <w:rFonts w:ascii="Bookman Old Style" w:eastAsia="Times New Roman" w:hAnsi="Bookman Old Style" w:cs="Arial"/>
                <w:b/>
                <w:lang w:eastAsia="it-IT"/>
              </w:rPr>
              <w:t>18 agosto 20</w:t>
            </w:r>
            <w:r>
              <w:rPr>
                <w:rFonts w:ascii="Bookman Old Style" w:eastAsia="Times New Roman" w:hAnsi="Bookman Old Style" w:cs="Arial"/>
                <w:b/>
                <w:lang w:eastAsia="it-IT"/>
              </w:rPr>
              <w:t xml:space="preserve">00, n. 267, possono riformulare </w:t>
            </w:r>
            <w:r w:rsidRPr="009059BD">
              <w:rPr>
                <w:rFonts w:ascii="Bookman Old Style" w:eastAsia="Times New Roman" w:hAnsi="Bookman Old Style" w:cs="Arial"/>
                <w:b/>
                <w:lang w:eastAsia="it-IT"/>
              </w:rPr>
              <w:t>tale pia</w:t>
            </w:r>
            <w:r>
              <w:rPr>
                <w:rFonts w:ascii="Bookman Old Style" w:eastAsia="Times New Roman" w:hAnsi="Bookman Old Style" w:cs="Arial"/>
                <w:b/>
                <w:lang w:eastAsia="it-IT"/>
              </w:rPr>
              <w:t xml:space="preserve">no, entro il 31 marzo 2017, per </w:t>
            </w:r>
            <w:r w:rsidRPr="009059BD">
              <w:rPr>
                <w:rFonts w:ascii="Bookman Old Style" w:eastAsia="Times New Roman" w:hAnsi="Bookman Old Style" w:cs="Arial"/>
                <w:b/>
                <w:lang w:eastAsia="it-IT"/>
              </w:rPr>
              <w:t>la parte</w:t>
            </w:r>
            <w:r>
              <w:rPr>
                <w:rFonts w:ascii="Bookman Old Style" w:eastAsia="Times New Roman" w:hAnsi="Bookman Old Style" w:cs="Arial"/>
                <w:b/>
                <w:lang w:eastAsia="it-IT"/>
              </w:rPr>
              <w:t xml:space="preserve"> non ancora attuata, secondo le </w:t>
            </w:r>
            <w:r w:rsidRPr="009059BD">
              <w:rPr>
                <w:rFonts w:ascii="Bookman Old Style" w:eastAsia="Times New Roman" w:hAnsi="Bookman Old Style" w:cs="Arial"/>
                <w:b/>
                <w:lang w:eastAsia="it-IT"/>
              </w:rPr>
              <w:t>modalità e n</w:t>
            </w:r>
            <w:r>
              <w:rPr>
                <w:rFonts w:ascii="Bookman Old Style" w:eastAsia="Times New Roman" w:hAnsi="Bookman Old Style" w:cs="Arial"/>
                <w:b/>
                <w:lang w:eastAsia="it-IT"/>
              </w:rPr>
              <w:t xml:space="preserve">ell’arco temporale previsti dal </w:t>
            </w:r>
            <w:r w:rsidRPr="009059BD">
              <w:rPr>
                <w:rFonts w:ascii="Bookman Old Style" w:eastAsia="Times New Roman" w:hAnsi="Bookman Old Style" w:cs="Arial"/>
                <w:b/>
                <w:lang w:eastAsia="it-IT"/>
              </w:rPr>
              <w:t xml:space="preserve">decreto del </w:t>
            </w:r>
            <w:r>
              <w:rPr>
                <w:rFonts w:ascii="Bookman Old Style" w:eastAsia="Times New Roman" w:hAnsi="Bookman Old Style" w:cs="Arial"/>
                <w:b/>
                <w:lang w:eastAsia="it-IT"/>
              </w:rPr>
              <w:t xml:space="preserve">Ministero dell’economia e delle </w:t>
            </w:r>
            <w:r w:rsidRPr="009059BD">
              <w:rPr>
                <w:rFonts w:ascii="Bookman Old Style" w:eastAsia="Times New Roman" w:hAnsi="Bookman Old Style" w:cs="Arial"/>
                <w:b/>
                <w:lang w:eastAsia="it-IT"/>
              </w:rPr>
              <w:t xml:space="preserve">finanze </w:t>
            </w:r>
            <w:r>
              <w:rPr>
                <w:rFonts w:ascii="Bookman Old Style" w:eastAsia="Times New Roman" w:hAnsi="Bookman Old Style" w:cs="Arial"/>
                <w:b/>
                <w:lang w:eastAsia="it-IT"/>
              </w:rPr>
              <w:t xml:space="preserve">2 aprile 2015, pubblicato nella </w:t>
            </w:r>
            <w:r w:rsidRPr="009059BD">
              <w:rPr>
                <w:rFonts w:ascii="Bookman Old Style" w:eastAsia="Times New Roman" w:hAnsi="Bookman Old Style" w:cs="Arial"/>
                <w:b/>
                <w:lang w:eastAsia="it-IT"/>
              </w:rPr>
              <w:t>Gazzetta Uffi</w:t>
            </w:r>
            <w:r>
              <w:rPr>
                <w:rFonts w:ascii="Bookman Old Style" w:eastAsia="Times New Roman" w:hAnsi="Bookman Old Style" w:cs="Arial"/>
                <w:b/>
                <w:lang w:eastAsia="it-IT"/>
              </w:rPr>
              <w:t xml:space="preserve">ciale n. 89 del 17 aprile 2015. </w:t>
            </w:r>
            <w:r w:rsidRPr="009059BD">
              <w:rPr>
                <w:rFonts w:ascii="Bookman Old Style" w:eastAsia="Times New Roman" w:hAnsi="Bookman Old Style" w:cs="Arial"/>
                <w:b/>
                <w:lang w:eastAsia="it-IT"/>
              </w:rPr>
              <w:t>A decorre</w:t>
            </w:r>
            <w:r>
              <w:rPr>
                <w:rFonts w:ascii="Bookman Old Style" w:eastAsia="Times New Roman" w:hAnsi="Bookman Old Style" w:cs="Arial"/>
                <w:b/>
                <w:lang w:eastAsia="it-IT"/>
              </w:rPr>
              <w:t xml:space="preserve">re dalla data di riformulazione </w:t>
            </w:r>
            <w:r w:rsidRPr="009059BD">
              <w:rPr>
                <w:rFonts w:ascii="Bookman Old Style" w:eastAsia="Times New Roman" w:hAnsi="Bookman Old Style" w:cs="Arial"/>
                <w:b/>
                <w:lang w:eastAsia="it-IT"/>
              </w:rPr>
              <w:t>del piano, gli en</w:t>
            </w:r>
            <w:r>
              <w:rPr>
                <w:rFonts w:ascii="Bookman Old Style" w:eastAsia="Times New Roman" w:hAnsi="Bookman Old Style" w:cs="Arial"/>
                <w:b/>
                <w:lang w:eastAsia="it-IT"/>
              </w:rPr>
              <w:t xml:space="preserve">ti di cui al periodo precedente </w:t>
            </w:r>
            <w:r w:rsidRPr="009059BD">
              <w:rPr>
                <w:rFonts w:ascii="Bookman Old Style" w:eastAsia="Times New Roman" w:hAnsi="Bookman Old Style" w:cs="Arial"/>
                <w:b/>
                <w:lang w:eastAsia="it-IT"/>
              </w:rPr>
              <w:t>pr</w:t>
            </w:r>
            <w:r>
              <w:rPr>
                <w:rFonts w:ascii="Bookman Old Style" w:eastAsia="Times New Roman" w:hAnsi="Bookman Old Style" w:cs="Arial"/>
                <w:b/>
                <w:lang w:eastAsia="it-IT"/>
              </w:rPr>
              <w:t xml:space="preserve">esentano alla sezione regionale </w:t>
            </w:r>
            <w:r w:rsidRPr="009059BD">
              <w:rPr>
                <w:rFonts w:ascii="Bookman Old Style" w:eastAsia="Times New Roman" w:hAnsi="Bookman Old Style" w:cs="Arial"/>
                <w:b/>
                <w:lang w:eastAsia="it-IT"/>
              </w:rPr>
              <w:t xml:space="preserve">della Corte dei conti apposita </w:t>
            </w:r>
            <w:r w:rsidRPr="009059BD">
              <w:rPr>
                <w:rFonts w:ascii="Bookman Old Style" w:eastAsia="Times New Roman" w:hAnsi="Bookman Old Style" w:cs="Arial"/>
                <w:b/>
                <w:lang w:eastAsia="it-IT"/>
              </w:rPr>
              <w:lastRenderedPageBreak/>
              <w:t>attestazione</w:t>
            </w:r>
            <w:r>
              <w:rPr>
                <w:rFonts w:ascii="Bookman Old Style" w:eastAsia="Times New Roman" w:hAnsi="Bookman Old Style" w:cs="Arial"/>
                <w:b/>
                <w:lang w:eastAsia="it-IT"/>
              </w:rPr>
              <w:t xml:space="preserve"> </w:t>
            </w:r>
            <w:r w:rsidRPr="009059BD">
              <w:rPr>
                <w:rFonts w:ascii="Bookman Old Style" w:eastAsia="Times New Roman" w:hAnsi="Bookman Old Style" w:cs="Arial"/>
                <w:b/>
                <w:lang w:eastAsia="it-IT"/>
              </w:rPr>
              <w:t>del rispett</w:t>
            </w:r>
            <w:r>
              <w:rPr>
                <w:rFonts w:ascii="Bookman Old Style" w:eastAsia="Times New Roman" w:hAnsi="Bookman Old Style" w:cs="Arial"/>
                <w:b/>
                <w:lang w:eastAsia="it-IT"/>
              </w:rPr>
              <w:t xml:space="preserve">o dei tempi di pagamento di cui </w:t>
            </w:r>
            <w:r w:rsidRPr="009059BD">
              <w:rPr>
                <w:rFonts w:ascii="Bookman Old Style" w:eastAsia="Times New Roman" w:hAnsi="Bookman Old Style" w:cs="Arial"/>
                <w:b/>
                <w:lang w:eastAsia="it-IT"/>
              </w:rPr>
              <w:t>alla dir</w:t>
            </w:r>
            <w:r>
              <w:rPr>
                <w:rFonts w:ascii="Bookman Old Style" w:eastAsia="Times New Roman" w:hAnsi="Bookman Old Style" w:cs="Arial"/>
                <w:b/>
                <w:lang w:eastAsia="it-IT"/>
              </w:rPr>
              <w:t xml:space="preserve">ettiva 2011/7/UE del Parlamento </w:t>
            </w:r>
            <w:r w:rsidRPr="009059BD">
              <w:rPr>
                <w:rFonts w:ascii="Bookman Old Style" w:eastAsia="Times New Roman" w:hAnsi="Bookman Old Style" w:cs="Arial"/>
                <w:b/>
                <w:lang w:eastAsia="it-IT"/>
              </w:rPr>
              <w:t>europeo e</w:t>
            </w:r>
            <w:r>
              <w:rPr>
                <w:rFonts w:ascii="Bookman Old Style" w:eastAsia="Times New Roman" w:hAnsi="Bookman Old Style" w:cs="Arial"/>
                <w:b/>
                <w:lang w:eastAsia="it-IT"/>
              </w:rPr>
              <w:t xml:space="preserve"> del Consiglio, del 16 febbraio </w:t>
            </w:r>
            <w:r w:rsidRPr="009059BD">
              <w:rPr>
                <w:rFonts w:ascii="Bookman Old Style" w:eastAsia="Times New Roman" w:hAnsi="Bookman Old Style" w:cs="Arial"/>
                <w:b/>
                <w:lang w:eastAsia="it-IT"/>
              </w:rPr>
              <w:t>2011.</w:t>
            </w:r>
          </w:p>
        </w:tc>
        <w:tc>
          <w:tcPr>
            <w:tcW w:w="7139" w:type="dxa"/>
            <w:gridSpan w:val="3"/>
          </w:tcPr>
          <w:p w:rsidR="00F07B8A" w:rsidRDefault="00F07B8A" w:rsidP="00F07B8A">
            <w:pPr>
              <w:jc w:val="both"/>
              <w:rPr>
                <w:rFonts w:ascii="Bookman Old Style" w:hAnsi="Bookman Old Style"/>
                <w:i/>
              </w:rPr>
            </w:pPr>
            <w:r w:rsidRPr="000030D5">
              <w:rPr>
                <w:rFonts w:ascii="Bookman Old Style" w:hAnsi="Bookman Old Style"/>
                <w:i/>
              </w:rPr>
              <w:lastRenderedPageBreak/>
              <w:t xml:space="preserve">Il </w:t>
            </w:r>
            <w:r w:rsidRPr="000030D5">
              <w:rPr>
                <w:rFonts w:ascii="Bookman Old Style" w:hAnsi="Bookman Old Style"/>
                <w:b/>
                <w:i/>
              </w:rPr>
              <w:t>comma 435</w:t>
            </w:r>
            <w:r w:rsidRPr="000030D5">
              <w:rPr>
                <w:rFonts w:ascii="Bookman Old Style" w:hAnsi="Bookman Old Style"/>
                <w:i/>
              </w:rPr>
              <w:t xml:space="preserve"> consente, fermi restando i tempi di pagamento dei creditori, la riformulazione del piano triennale di copertura del disavanzo</w:t>
            </w:r>
            <w:r w:rsidRPr="000030D5">
              <w:rPr>
                <w:rFonts w:ascii="Bookman Old Style" w:hAnsi="Bookman Old Style"/>
                <w:b/>
                <w:i/>
              </w:rPr>
              <w:t xml:space="preserve"> </w:t>
            </w:r>
            <w:r w:rsidRPr="000030D5">
              <w:rPr>
                <w:rFonts w:ascii="Bookman Old Style" w:hAnsi="Bookman Old Style"/>
                <w:i/>
              </w:rPr>
              <w:t xml:space="preserve">di cui all’articolo 193 del TUEL. Tale facoltà è riconosciuta esclusivamente agli enti locali che hanno proceduto alla revisione dei residui, per effetto di espressa pronuncia della Corte dei conti, nel corso degli esercizi 2012, 2013 o 2014, antecedentemente al riaccertamento straordinario </w:t>
            </w:r>
            <w:r>
              <w:rPr>
                <w:rFonts w:ascii="Bookman Old Style" w:hAnsi="Bookman Old Style"/>
                <w:i/>
              </w:rPr>
              <w:t>dei residui</w:t>
            </w:r>
            <w:r w:rsidRPr="000030D5">
              <w:rPr>
                <w:rFonts w:ascii="Bookman Old Style" w:hAnsi="Bookman Old Style"/>
                <w:i/>
              </w:rPr>
              <w:t>. La riformulazione del predetto piano può essere effettuata entro il 31 marzo 2017, per la parte non ancora attuata, secondo le modalità stabilite nel Decreto del Ministero dell’economia e de</w:t>
            </w:r>
            <w:r>
              <w:rPr>
                <w:rFonts w:ascii="Bookman Old Style" w:hAnsi="Bookman Old Style"/>
                <w:i/>
              </w:rPr>
              <w:t>lle finanze del 2 aprile 2015 (</w:t>
            </w:r>
            <w:r w:rsidRPr="000030D5">
              <w:rPr>
                <w:rFonts w:ascii="Bookman Old Style" w:hAnsi="Bookman Old Style"/>
                <w:i/>
              </w:rPr>
              <w:t xml:space="preserve">che </w:t>
            </w:r>
            <w:r>
              <w:rPr>
                <w:rFonts w:ascii="Bookman Old Style" w:hAnsi="Bookman Old Style"/>
                <w:i/>
              </w:rPr>
              <w:t xml:space="preserve">prevede un orizzonte temporale trentennale per il </w:t>
            </w:r>
            <w:r w:rsidRPr="000030D5">
              <w:rPr>
                <w:rFonts w:ascii="Bookman Old Style" w:hAnsi="Bookman Old Style"/>
                <w:i/>
              </w:rPr>
              <w:t xml:space="preserve">ripiano dell’eventuale maggiore disavanzo di amministrazione derivante dal riaccertamento straordinario dei residui). A decorrere dalla data di riformulazione del piano, gli enti </w:t>
            </w:r>
            <w:r>
              <w:rPr>
                <w:rFonts w:ascii="Bookman Old Style" w:hAnsi="Bookman Old Style"/>
                <w:i/>
              </w:rPr>
              <w:t xml:space="preserve">locali interessati </w:t>
            </w:r>
            <w:r w:rsidRPr="000030D5">
              <w:rPr>
                <w:rFonts w:ascii="Bookman Old Style" w:hAnsi="Bookman Old Style"/>
                <w:i/>
              </w:rPr>
              <w:t xml:space="preserve">presentano alla sezione regionale della Corte dei conti apposita attestazione del rispetto dei tempi di pagamento </w:t>
            </w:r>
            <w:r>
              <w:rPr>
                <w:rFonts w:ascii="Bookman Old Style" w:hAnsi="Bookman Old Style"/>
                <w:i/>
              </w:rPr>
              <w:t>prevista dalla normativa europea.</w:t>
            </w:r>
          </w:p>
          <w:p w:rsidR="00F07B8A" w:rsidRPr="009C34A6" w:rsidRDefault="00F07B8A" w:rsidP="00F07B8A">
            <w:pPr>
              <w:jc w:val="both"/>
              <w:rPr>
                <w:rFonts w:ascii="Bookman Old Style" w:hAnsi="Bookman Old Style"/>
                <w:i/>
                <w:lang w:eastAsia="it-IT"/>
              </w:rPr>
            </w:pPr>
            <w:r w:rsidRPr="00046A0F">
              <w:rPr>
                <w:rFonts w:ascii="Bookman Old Style" w:hAnsi="Bookman Old Style"/>
                <w:i/>
                <w:lang w:eastAsia="it-IT"/>
              </w:rPr>
              <w:lastRenderedPageBreak/>
              <w:t xml:space="preserve">Il citato comma 435 recepisce una proposta </w:t>
            </w:r>
            <w:r>
              <w:rPr>
                <w:rFonts w:ascii="Bookman Old Style" w:hAnsi="Bookman Old Style"/>
                <w:i/>
                <w:lang w:eastAsia="it-IT"/>
              </w:rPr>
              <w:t xml:space="preserve">fortemente </w:t>
            </w:r>
            <w:r w:rsidRPr="00046A0F">
              <w:rPr>
                <w:rFonts w:ascii="Bookman Old Style" w:hAnsi="Bookman Old Style"/>
                <w:i/>
                <w:lang w:eastAsia="it-IT"/>
              </w:rPr>
              <w:t>sostenuta da A</w:t>
            </w:r>
            <w:r>
              <w:rPr>
                <w:rFonts w:ascii="Bookman Old Style" w:hAnsi="Bookman Old Style"/>
                <w:i/>
                <w:lang w:eastAsia="it-IT"/>
              </w:rPr>
              <w:t>nci in quanto</w:t>
            </w:r>
            <w:r w:rsidRPr="00046A0F">
              <w:rPr>
                <w:rFonts w:ascii="Bookman Old Style" w:hAnsi="Bookman Old Style"/>
                <w:i/>
                <w:lang w:eastAsia="it-IT"/>
              </w:rPr>
              <w:t>, nei casi di già avvenuta effettuazione della revis</w:t>
            </w:r>
            <w:r>
              <w:rPr>
                <w:rFonts w:ascii="Bookman Old Style" w:hAnsi="Bookman Old Style"/>
                <w:i/>
                <w:lang w:eastAsia="it-IT"/>
              </w:rPr>
              <w:t xml:space="preserve">ione straordinaria dei residui </w:t>
            </w:r>
            <w:r w:rsidRPr="00046A0F">
              <w:rPr>
                <w:rFonts w:ascii="Bookman Old Style" w:hAnsi="Bookman Old Style"/>
                <w:i/>
                <w:lang w:eastAsia="it-IT"/>
              </w:rPr>
              <w:t xml:space="preserve">in un momento antecedente a quanto previsto dalla revisione straordinaria di cui al d.lgs. 118/2011, </w:t>
            </w:r>
            <w:r>
              <w:rPr>
                <w:rFonts w:ascii="Bookman Old Style" w:hAnsi="Bookman Old Style"/>
                <w:i/>
                <w:lang w:eastAsia="it-IT"/>
              </w:rPr>
              <w:t>il</w:t>
            </w:r>
            <w:r w:rsidRPr="00046A0F">
              <w:rPr>
                <w:rFonts w:ascii="Bookman Old Style" w:hAnsi="Bookman Old Style"/>
                <w:i/>
                <w:lang w:eastAsia="it-IT"/>
              </w:rPr>
              <w:t xml:space="preserve"> disavanzo non poteva essere riassorbita secondo le più favorevoli condizioni delle norme relative alla riforma contabile</w:t>
            </w:r>
            <w:r>
              <w:rPr>
                <w:rFonts w:ascii="Bookman Old Style" w:hAnsi="Bookman Old Style"/>
                <w:i/>
                <w:lang w:eastAsia="it-IT"/>
              </w:rPr>
              <w:t xml:space="preserve"> (30 anni)</w:t>
            </w:r>
            <w:r w:rsidRPr="00046A0F">
              <w:rPr>
                <w:rFonts w:ascii="Bookman Old Style" w:hAnsi="Bookman Old Style"/>
                <w:i/>
                <w:lang w:eastAsia="it-IT"/>
              </w:rPr>
              <w:t xml:space="preserve"> e doveva contenersi nell’arco triennale previsto dall’articolo 193 TUEL. </w:t>
            </w:r>
            <w:r>
              <w:rPr>
                <w:rFonts w:ascii="Bookman Old Style" w:hAnsi="Bookman Old Style"/>
                <w:i/>
                <w:lang w:eastAsia="it-IT"/>
              </w:rPr>
              <w:t xml:space="preserve">Tale norma </w:t>
            </w:r>
            <w:r w:rsidRPr="00046A0F">
              <w:rPr>
                <w:rFonts w:ascii="Bookman Old Style" w:hAnsi="Bookman Old Style"/>
                <w:i/>
                <w:lang w:eastAsia="it-IT"/>
              </w:rPr>
              <w:t>sana la sostanziale disparità di trattamento</w:t>
            </w:r>
            <w:r>
              <w:rPr>
                <w:rFonts w:ascii="Bookman Old Style" w:hAnsi="Bookman Old Style"/>
                <w:i/>
                <w:lang w:eastAsia="it-IT"/>
              </w:rPr>
              <w:t xml:space="preserve"> esistente. </w:t>
            </w:r>
          </w:p>
        </w:tc>
      </w:tr>
      <w:tr w:rsidR="00F07B8A" w:rsidTr="00086B81">
        <w:trPr>
          <w:gridAfter w:val="1"/>
          <w:wAfter w:w="150" w:type="dxa"/>
        </w:trPr>
        <w:tc>
          <w:tcPr>
            <w:tcW w:w="7138" w:type="dxa"/>
          </w:tcPr>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lastRenderedPageBreak/>
              <w:t xml:space="preserve">436. Al comma 9 dell’articolo 243-bis del testo unico di cui al decreto legislativo 18 agosto </w:t>
            </w:r>
            <w:r>
              <w:rPr>
                <w:rFonts w:ascii="Bookman Old Style" w:eastAsia="Times New Roman" w:hAnsi="Bookman Old Style" w:cs="Arial"/>
                <w:b/>
                <w:lang w:eastAsia="it-IT"/>
              </w:rPr>
              <w:t xml:space="preserve">2000, n. 267, sono apportate le </w:t>
            </w:r>
            <w:r w:rsidRPr="009059BD">
              <w:rPr>
                <w:rFonts w:ascii="Bookman Old Style" w:eastAsia="Times New Roman" w:hAnsi="Bookman Old Style" w:cs="Arial"/>
                <w:b/>
                <w:lang w:eastAsia="it-IT"/>
              </w:rPr>
              <w:t>seguenti modificazioni:</w:t>
            </w:r>
          </w:p>
          <w:p w:rsidR="00F07B8A" w:rsidRPr="009059BD" w:rsidRDefault="00F07B8A" w:rsidP="00F07B8A">
            <w:pPr>
              <w:shd w:val="clear" w:color="auto" w:fill="FFFFFF"/>
              <w:jc w:val="both"/>
              <w:rPr>
                <w:rFonts w:ascii="Bookman Old Style" w:eastAsia="Times New Roman" w:hAnsi="Bookman Old Style" w:cs="Arial"/>
                <w:b/>
                <w:lang w:eastAsia="it-IT"/>
              </w:rPr>
            </w:pPr>
          </w:p>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a) le lettere b) e c) sono sostituite dalle seguenti:</w:t>
            </w:r>
          </w:p>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 b) entro il termine di un quinquennio, riduzione almeno del 10 per cento delle spese per acquisti di beni e prestazioni di servizi di cui al macroaggregato 03 della spesa corrente, finanziate</w:t>
            </w:r>
            <w:r>
              <w:rPr>
                <w:rFonts w:ascii="Bookman Old Style" w:eastAsia="Times New Roman" w:hAnsi="Bookman Old Style" w:cs="Arial"/>
                <w:b/>
                <w:lang w:eastAsia="it-IT"/>
              </w:rPr>
              <w:t xml:space="preserve"> </w:t>
            </w:r>
            <w:r w:rsidRPr="009059BD">
              <w:rPr>
                <w:rFonts w:ascii="Bookman Old Style" w:eastAsia="Times New Roman" w:hAnsi="Bookman Old Style" w:cs="Arial"/>
                <w:b/>
                <w:lang w:eastAsia="it-IT"/>
              </w:rPr>
              <w:t>attraverso risorse proprie. Ai fini del computo della percentuale di riduzione, dalla base di calcolo sono esclusi gli stanziamenti destinati:</w:t>
            </w:r>
          </w:p>
          <w:p w:rsidR="00F07B8A" w:rsidRPr="009059BD" w:rsidRDefault="00F07B8A" w:rsidP="00FC47E0">
            <w:pPr>
              <w:shd w:val="clear" w:color="auto" w:fill="FFFFFF"/>
              <w:ind w:left="171"/>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1) alla copertura dei costi di gestione del servizio di smaltimento dei rifiuti solidi urbani;</w:t>
            </w:r>
          </w:p>
          <w:p w:rsidR="00F07B8A" w:rsidRPr="009059BD" w:rsidRDefault="00F07B8A" w:rsidP="00FC47E0">
            <w:pPr>
              <w:shd w:val="clear" w:color="auto" w:fill="FFFFFF"/>
              <w:ind w:left="171"/>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2) alla copertura dei costi di gestione del servizio di acquedotto;</w:t>
            </w:r>
          </w:p>
          <w:p w:rsidR="00F07B8A" w:rsidRPr="009059BD" w:rsidRDefault="00F07B8A" w:rsidP="00FC47E0">
            <w:pPr>
              <w:shd w:val="clear" w:color="auto" w:fill="FFFFFF"/>
              <w:ind w:left="171"/>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3) al servizio di trasporto pubblico locale;</w:t>
            </w:r>
          </w:p>
          <w:p w:rsidR="00F07B8A" w:rsidRPr="009059BD" w:rsidRDefault="00F07B8A" w:rsidP="00FC47E0">
            <w:pPr>
              <w:shd w:val="clear" w:color="auto" w:fill="FFFFFF"/>
              <w:ind w:left="171"/>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4) al servizio di illuminazione pubblica;</w:t>
            </w:r>
          </w:p>
          <w:p w:rsidR="00F07B8A" w:rsidRPr="009059BD" w:rsidRDefault="00F07B8A" w:rsidP="00FC47E0">
            <w:pPr>
              <w:shd w:val="clear" w:color="auto" w:fill="FFFFFF"/>
              <w:ind w:left="171"/>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5) al finanziamento delle spese relative all’accoglienza, su disposizione della competente autorità giudiziaria, di minori in strutture protette in regime di convitto e semiconvitto;</w:t>
            </w:r>
          </w:p>
          <w:p w:rsidR="00F07B8A" w:rsidRPr="009059BD" w:rsidRDefault="00F07B8A" w:rsidP="00F07B8A">
            <w:pPr>
              <w:shd w:val="clear" w:color="auto" w:fill="FFFFFF"/>
              <w:jc w:val="both"/>
              <w:rPr>
                <w:rFonts w:ascii="Bookman Old Style" w:eastAsia="Times New Roman" w:hAnsi="Bookman Old Style" w:cs="Arial"/>
                <w:b/>
                <w:lang w:eastAsia="it-IT"/>
              </w:rPr>
            </w:pPr>
          </w:p>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c) entro il termine di un quinquennio, riduzione almeno del 25 per cento delle spese per trasferimenti di cui al macroaggregato</w:t>
            </w:r>
            <w:r w:rsidR="00FC47E0">
              <w:rPr>
                <w:rFonts w:ascii="Bookman Old Style" w:eastAsia="Times New Roman" w:hAnsi="Bookman Old Style" w:cs="Arial"/>
                <w:b/>
                <w:lang w:eastAsia="it-IT"/>
              </w:rPr>
              <w:t xml:space="preserve"> </w:t>
            </w:r>
            <w:r w:rsidRPr="009059BD">
              <w:rPr>
                <w:rFonts w:ascii="Bookman Old Style" w:eastAsia="Times New Roman" w:hAnsi="Bookman Old Style" w:cs="Arial"/>
                <w:b/>
                <w:lang w:eastAsia="it-IT"/>
              </w:rPr>
              <w:t xml:space="preserve">04 della spesa corrente, finanziate attraverso risorse proprie. Ai fini del computo della percentuale di riduzione, dalla base di calcolo sono escluse </w:t>
            </w:r>
            <w:r w:rsidRPr="009059BD">
              <w:rPr>
                <w:rFonts w:ascii="Bookman Old Style" w:eastAsia="Times New Roman" w:hAnsi="Bookman Old Style" w:cs="Arial"/>
                <w:b/>
                <w:lang w:eastAsia="it-IT"/>
              </w:rPr>
              <w:lastRenderedPageBreak/>
              <w:t>le somme relative a trasferimenti destinati ad altri livelli istituzionali, a enti, agenzie o fondazioni lirico-sinfoniche »;</w:t>
            </w:r>
          </w:p>
          <w:p w:rsidR="00F07B8A" w:rsidRPr="009059BD" w:rsidRDefault="00F07B8A" w:rsidP="00F07B8A">
            <w:pPr>
              <w:shd w:val="clear" w:color="auto" w:fill="FFFFFF"/>
              <w:jc w:val="both"/>
              <w:rPr>
                <w:rFonts w:ascii="Bookman Old Style" w:eastAsia="Times New Roman" w:hAnsi="Bookman Old Style" w:cs="Arial"/>
                <w:b/>
                <w:lang w:eastAsia="it-IT"/>
              </w:rPr>
            </w:pPr>
          </w:p>
          <w:p w:rsidR="00F07B8A" w:rsidRPr="009059BD" w:rsidRDefault="00F07B8A" w:rsidP="00F07B8A">
            <w:pPr>
              <w:shd w:val="clear" w:color="auto" w:fill="FFFFFF"/>
              <w:jc w:val="both"/>
              <w:rPr>
                <w:rFonts w:ascii="Bookman Old Style" w:eastAsia="Times New Roman" w:hAnsi="Bookman Old Style" w:cs="Arial"/>
                <w:b/>
                <w:lang w:eastAsia="it-IT"/>
              </w:rPr>
            </w:pPr>
          </w:p>
          <w:p w:rsidR="00F07B8A" w:rsidRPr="009059BD" w:rsidRDefault="00F07B8A" w:rsidP="00F07B8A">
            <w:pPr>
              <w:shd w:val="clear" w:color="auto" w:fill="FFFFFF"/>
              <w:jc w:val="both"/>
              <w:rPr>
                <w:rFonts w:ascii="Bookman Old Style" w:eastAsia="Times New Roman" w:hAnsi="Bookman Old Style" w:cs="Arial"/>
                <w:b/>
                <w:lang w:eastAsia="it-IT"/>
              </w:rPr>
            </w:pPr>
            <w:r w:rsidRPr="009059BD">
              <w:rPr>
                <w:rFonts w:ascii="Bookman Old Style" w:eastAsia="Times New Roman" w:hAnsi="Bookman Old Style" w:cs="Arial"/>
                <w:b/>
                <w:lang w:eastAsia="it-IT"/>
              </w:rPr>
              <w:t>b) dopo la lettera c) è inserita la seguente:</w:t>
            </w:r>
          </w:p>
          <w:p w:rsidR="00F07B8A" w:rsidRPr="009059BD" w:rsidRDefault="00F07B8A" w:rsidP="00F07B8A">
            <w:pPr>
              <w:shd w:val="clear" w:color="auto" w:fill="FFFFFF"/>
              <w:jc w:val="both"/>
              <w:rPr>
                <w:rFonts w:ascii="Bookman Old Style" w:eastAsia="Times New Roman" w:hAnsi="Bookman Old Style" w:cs="Arial"/>
                <w:b/>
                <w:lang w:eastAsia="it-IT"/>
              </w:rPr>
            </w:pPr>
          </w:p>
          <w:p w:rsidR="00F07B8A" w:rsidRDefault="00F07B8A" w:rsidP="00F07B8A">
            <w:pPr>
              <w:shd w:val="clear" w:color="auto" w:fill="FFFFFF"/>
              <w:jc w:val="both"/>
              <w:rPr>
                <w:rFonts w:ascii="Bookman Old Style" w:eastAsia="Times New Roman" w:hAnsi="Bookman Old Style" w:cs="Arial"/>
                <w:lang w:eastAsia="it-IT"/>
              </w:rPr>
            </w:pPr>
            <w:r w:rsidRPr="009059BD">
              <w:rPr>
                <w:rFonts w:ascii="Bookman Old Style" w:eastAsia="Times New Roman" w:hAnsi="Bookman Old Style" w:cs="Arial"/>
                <w:b/>
                <w:lang w:eastAsia="it-IT"/>
              </w:rPr>
              <w:t xml:space="preserve">  « c-bis) ferma restando l’obbligatorietà delle riduzioni indicate nelle lettere b) e c), l’ente locale ha facoltà di procedere a compensazioni, in valore assoluto e mantenendo la piena equivalenza delle somme, tra importi di spesa corrente, ad eccezione della spesa per il personale e ferme restando le esclusioni di cui alle medesime lettere b) e c) del presente comma. Tali compensazioni sono puntualmente evidenziate nel piano di riequilibrio approvato».</w:t>
            </w:r>
          </w:p>
        </w:tc>
        <w:tc>
          <w:tcPr>
            <w:tcW w:w="7139" w:type="dxa"/>
            <w:gridSpan w:val="3"/>
          </w:tcPr>
          <w:p w:rsidR="00F07B8A"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lastRenderedPageBreak/>
              <w:t xml:space="preserve">La norma di cui al </w:t>
            </w:r>
            <w:r w:rsidRPr="00097324">
              <w:rPr>
                <w:rFonts w:ascii="Bookman Old Style" w:eastAsiaTheme="minorEastAsia" w:hAnsi="Bookman Old Style"/>
                <w:b/>
                <w:i/>
                <w:lang w:eastAsia="it-IT"/>
              </w:rPr>
              <w:t>comma 436</w:t>
            </w:r>
            <w:r w:rsidRPr="00097324">
              <w:rPr>
                <w:rFonts w:ascii="Bookman Old Style" w:eastAsiaTheme="minorEastAsia" w:hAnsi="Bookman Old Style"/>
                <w:i/>
                <w:lang w:eastAsia="it-IT"/>
              </w:rPr>
              <w:t xml:space="preserve"> accoglie una richiesta formulata dall’Anci che interviene sull’articolo 243-bis, comma 9, lettere b) e c) del TUEL, con l’intento di rendere la disciplina del pre-dissesto più flessibile in tema di riduzione delle spese. </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L’attuale previsione normativa prevede infatti un taglio netto del 10%, da programmare nei primi tre anni di adesione alla procedura, delle prestazioni di servizio, intervento 03, della spesa corrente. Nel computo, devono essere incluse anche le spese con specifico finanziamento a carico del bilancio di altri enti. Poiché il taglio percentuale deve essere calcolato sull’intero importo della spesa rientrante nell’intervento 03 (precedente classificazione di bilancio), la previsione di un taglio del 10%, combinata all’impossibilità di comprimere spese legate a finanziamenti specifici, determina, di fatto, l’applicazione di un taglio superiore a quello previsto. Inoltre, la formulazione del taglio basata sul target di spesa, piuttosto che sulla mera riduzione lineare da misurare al termine del periodo di riferimento, garantisce l'obiettivo stabilito dalla legge contenendo, entro limiti più sostenibili in relazione all'attuale congiuntura economica, il sacrificio imposto alla collettività.</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Analogamente, il termine di tre anni per il raggiungimento del target non appare congruo rispetto alla possibile durata massima del piano. L’estensione del periodo entro il quale il target di risparmio deve essere raggiunto appare più in linea con la previsione di durata massima del piano.</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 xml:space="preserve">La sottrazione dalla base di calcolo di una serie di voci di spesa corrisponde altresì all'esigenza di rendere effettivamente evidente </w:t>
            </w:r>
            <w:r w:rsidRPr="00097324">
              <w:rPr>
                <w:rFonts w:ascii="Bookman Old Style" w:eastAsiaTheme="minorEastAsia" w:hAnsi="Bookman Old Style"/>
                <w:i/>
                <w:lang w:eastAsia="it-IT"/>
              </w:rPr>
              <w:lastRenderedPageBreak/>
              <w:t>lo sforzo prodotto dal singolo ente in tema di risparmio di spesa: le voci di spesa in questione si configurano infatti o come somme integralmente finanziate, oppure come somme originate da fattori che non sono sotto il controllo dell'ente stesso. Più precisamente:</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w:t>
            </w:r>
            <w:r w:rsidRPr="00097324">
              <w:rPr>
                <w:rFonts w:ascii="Bookman Old Style" w:eastAsiaTheme="minorEastAsia" w:hAnsi="Bookman Old Style"/>
                <w:i/>
                <w:lang w:eastAsia="it-IT"/>
              </w:rPr>
              <w:tab/>
              <w:t>l’esclusione del servizio di smaltimento rifiuti e del servizio acquedotto si spiega con il fatto che vi è un obbligo di copertura totale a carico della fiscalità locale, con l'applicazione di tariffe adeguate al raggiungimento di tale obiettivo e, quindi, con un effetto neutro rispetto al risanamento;</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w:t>
            </w:r>
            <w:r w:rsidRPr="00097324">
              <w:rPr>
                <w:rFonts w:ascii="Bookman Old Style" w:eastAsiaTheme="minorEastAsia" w:hAnsi="Bookman Old Style"/>
                <w:i/>
                <w:lang w:eastAsia="it-IT"/>
              </w:rPr>
              <w:tab/>
              <w:t>l’esclusione delle spese finalizzate alla pubblica illuminazione si spiega con la valenza strategica di tale voce di spesa in termini di difesa dell’ordine pubblico delle aree urbane (spesso, succede che soprattutto nelle aree degradate gli organi preposti al rispetto dell'ordine pubblico richiedono un incremento del livello di illuminazione in determinate aree, producendo un incremento della spesa sostenuta dall'ente);</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w:t>
            </w:r>
            <w:r w:rsidRPr="00097324">
              <w:rPr>
                <w:rFonts w:ascii="Bookman Old Style" w:eastAsiaTheme="minorEastAsia" w:hAnsi="Bookman Old Style"/>
                <w:i/>
                <w:lang w:eastAsia="it-IT"/>
              </w:rPr>
              <w:tab/>
              <w:t>l’esclusione delle spese relative a minori affidati dalla magistratura a strutture protette in casi di conclamata difficoltà delle famiglie di provenienza si spiega con la valenza strategica di tale voce di spesa in termini di protezione dell’infanzia e dell’alto valore sociale delle azioni, peraltro, imposte all’ente locale.</w:t>
            </w:r>
          </w:p>
          <w:p w:rsidR="00F07B8A" w:rsidRPr="00097324" w:rsidRDefault="00F07B8A" w:rsidP="00F07B8A">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Per ciò che attiene al trasporto pubblico locale, l’esclusione deve invece essere messa in relazione con la consistente riduzione delle risorse che questo comparto ha dovuto subire negli ultimi anni, cosa che ha determinato disagi e riduzioni di tipo quali-quantitativo del livello dei servizi erogati, in un settore che, peraltro, assume valenza strategica in termini di difesa ambientale e volano di sviluppo economico delle aree urbane.</w:t>
            </w:r>
          </w:p>
          <w:p w:rsidR="00F07B8A" w:rsidRPr="00097324" w:rsidRDefault="00F07B8A" w:rsidP="00FC47E0">
            <w:pPr>
              <w:jc w:val="both"/>
              <w:rPr>
                <w:rFonts w:ascii="Bookman Old Style" w:eastAsiaTheme="minorEastAsia" w:hAnsi="Bookman Old Style"/>
                <w:i/>
                <w:lang w:eastAsia="it-IT"/>
              </w:rPr>
            </w:pPr>
            <w:r w:rsidRPr="00097324">
              <w:rPr>
                <w:rFonts w:ascii="Bookman Old Style" w:eastAsiaTheme="minorEastAsia" w:hAnsi="Bookman Old Style"/>
                <w:i/>
                <w:lang w:eastAsia="it-IT"/>
              </w:rPr>
              <w:t>In</w:t>
            </w:r>
            <w:r>
              <w:rPr>
                <w:rFonts w:ascii="Bookman Old Style" w:eastAsiaTheme="minorEastAsia" w:hAnsi="Bookman Old Style"/>
                <w:i/>
                <w:lang w:eastAsia="it-IT"/>
              </w:rPr>
              <w:t>fin</w:t>
            </w:r>
            <w:r w:rsidRPr="00097324">
              <w:rPr>
                <w:rFonts w:ascii="Bookman Old Style" w:eastAsiaTheme="minorEastAsia" w:hAnsi="Bookman Old Style"/>
                <w:i/>
                <w:lang w:eastAsia="it-IT"/>
              </w:rPr>
              <w:t xml:space="preserve">e, con la lettera c-bis) è introdotta la facoltà per l’ente aderente alla procedura pluriennale di riequilibrio di compensare, nel corso del quinquennio, le misure di rientro e contrazione della spesa corrente compensandone l’effetto totale pur non rispettando le specifiche prescrizioni. Si tratta di una scelta legata al fatto che ciascun ente, in attuazione di proprie scelte di carattere puramente gestionale, potrebbe avere necessità di </w:t>
            </w:r>
            <w:r w:rsidRPr="00097324">
              <w:rPr>
                <w:rFonts w:ascii="Bookman Old Style" w:eastAsiaTheme="minorEastAsia" w:hAnsi="Bookman Old Style"/>
                <w:i/>
                <w:lang w:eastAsia="it-IT"/>
              </w:rPr>
              <w:lastRenderedPageBreak/>
              <w:t xml:space="preserve">allocare diversamente le somme in bilancio. </w:t>
            </w: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437. Le risorse di cui al comma 433</w:t>
            </w:r>
            <w:r w:rsidRPr="00E847D3">
              <w:rPr>
                <w:rFonts w:ascii="Bookman Old Style" w:eastAsia="Times New Roman" w:hAnsi="Bookman Old Style" w:cs="Arial"/>
                <w:lang w:eastAsia="it-IT"/>
              </w:rPr>
              <w:t xml:space="preserve"> sono versate all'entrata del bilancio dello Stato nell'anno 2017 per essere riasse</w:t>
            </w:r>
            <w:r>
              <w:rPr>
                <w:rFonts w:ascii="Bookman Old Style" w:eastAsia="Times New Roman" w:hAnsi="Bookman Old Style" w:cs="Arial"/>
                <w:lang w:eastAsia="it-IT"/>
              </w:rPr>
              <w:t>gnate al Fondo di cui al comma 433</w:t>
            </w:r>
            <w:r w:rsidRPr="00E847D3">
              <w:rPr>
                <w:rFonts w:ascii="Bookman Old Style" w:eastAsia="Times New Roman" w:hAnsi="Bookman Old Style" w:cs="Arial"/>
                <w:lang w:eastAsia="it-IT"/>
              </w:rPr>
              <w:t>. Ciascun ente territoriale beneficiario del Fondo, ai sensi dell'</w:t>
            </w:r>
            <w:hyperlink r:id="rId38" w:anchor="art9-com5" w:tgtFrame="rifNormativi" w:history="1">
              <w:r w:rsidRPr="00CF63B8">
                <w:rPr>
                  <w:rFonts w:ascii="Bookman Old Style" w:eastAsia="Times New Roman" w:hAnsi="Bookman Old Style" w:cs="Arial"/>
                  <w:lang w:eastAsia="it-IT"/>
                </w:rPr>
                <w:t>articolo 9, comma 5, della legge 24 dicembre 2012, n. 243</w:t>
              </w:r>
            </w:hyperlink>
            <w:r w:rsidRPr="00E847D3">
              <w:rPr>
                <w:rFonts w:ascii="Bookman Old Style" w:eastAsia="Times New Roman" w:hAnsi="Bookman Old Style" w:cs="Arial"/>
                <w:lang w:eastAsia="it-IT"/>
              </w:rPr>
              <w:t>, consegue un valore positivo del saldo di cui al comma 4</w:t>
            </w:r>
            <w:r>
              <w:rPr>
                <w:rFonts w:ascii="Bookman Old Style" w:eastAsia="Times New Roman" w:hAnsi="Bookman Old Style" w:cs="Arial"/>
                <w:lang w:eastAsia="it-IT"/>
              </w:rPr>
              <w:t>66del presente articolo</w:t>
            </w:r>
            <w:r w:rsidRPr="00E847D3">
              <w:rPr>
                <w:rFonts w:ascii="Bookman Old Style" w:eastAsia="Times New Roman" w:hAnsi="Bookman Old Style" w:cs="Arial"/>
                <w:lang w:eastAsia="it-IT"/>
              </w:rPr>
              <w:t xml:space="preserve"> in misura pari al Fondo stesso.</w:t>
            </w:r>
          </w:p>
        </w:tc>
        <w:tc>
          <w:tcPr>
            <w:tcW w:w="7139" w:type="dxa"/>
            <w:gridSpan w:val="3"/>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Dal momento che il Fondo è costituito solo in termini di saldo netto da finanziare, il comma </w:t>
            </w:r>
            <w:r w:rsidRPr="000778A2">
              <w:rPr>
                <w:rFonts w:ascii="Bookman Old Style" w:hAnsi="Bookman Old Style"/>
                <w:b/>
                <w:i/>
                <w:color w:val="000000"/>
              </w:rPr>
              <w:t>437</w:t>
            </w:r>
            <w:r w:rsidRPr="000778A2">
              <w:rPr>
                <w:rFonts w:ascii="Bookman Old Style" w:hAnsi="Bookman Old Style"/>
                <w:i/>
                <w:color w:val="000000"/>
              </w:rPr>
              <w:t xml:space="preserve"> prevede che – al fine di compensare l’effetto di termini di indebitamento netto – ciascun ente beneficiario sia tenuto a conseguire per il 2017 un valore positivo del saldo di pareggio in misura pari alla quota delle risorse assegnate.</w:t>
            </w:r>
          </w:p>
          <w:p w:rsidR="00F07B8A" w:rsidRPr="000778A2" w:rsidRDefault="00F07B8A" w:rsidP="00F07B8A">
            <w:pPr>
              <w:jc w:val="both"/>
              <w:rPr>
                <w:rFonts w:ascii="Bookman Old Style" w:hAnsi="Bookman Old Style"/>
                <w:b/>
                <w:i/>
                <w:color w:val="000000"/>
              </w:rPr>
            </w:pP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438</w:t>
            </w:r>
            <w:r w:rsidRPr="00E847D3">
              <w:rPr>
                <w:rFonts w:ascii="Bookman Old Style" w:eastAsia="Times New Roman" w:hAnsi="Bookman Old Style" w:cs="Arial"/>
                <w:lang w:eastAsia="it-IT"/>
              </w:rPr>
              <w:t>. Nello stato di previsione della spesa del Ministero dell'economia e delle finanze è istituito un fondo, denominato «Fondo da ripartire per il finanziamento di interventi a favore degli Enti territoriali», con una dotazione di 969,6 milioni di euro per ciascuno degli anni dal 2017 al 2026, di 935 milioni di euro per ciascuno degli anni dal 2027 al 2046 e di 925 milioni di euro annui a decorrere dall'anno 2047.</w:t>
            </w:r>
          </w:p>
        </w:tc>
        <w:tc>
          <w:tcPr>
            <w:tcW w:w="7139" w:type="dxa"/>
            <w:gridSpan w:val="3"/>
          </w:tcPr>
          <w:p w:rsidR="00F07B8A" w:rsidRPr="000778A2" w:rsidRDefault="00F07B8A" w:rsidP="00F07B8A">
            <w:pPr>
              <w:jc w:val="both"/>
              <w:rPr>
                <w:rFonts w:ascii="Bookman Old Style" w:eastAsia="Times New Roman" w:hAnsi="Bookman Old Style" w:cs="Arial"/>
                <w:i/>
                <w:lang w:eastAsia="it-IT"/>
              </w:rPr>
            </w:pPr>
            <w:r w:rsidRPr="000778A2">
              <w:rPr>
                <w:rFonts w:ascii="Bookman Old Style" w:hAnsi="Bookman Old Style"/>
                <w:i/>
                <w:color w:val="000000"/>
              </w:rPr>
              <w:t xml:space="preserve">Il </w:t>
            </w:r>
            <w:r w:rsidRPr="000778A2">
              <w:rPr>
                <w:rFonts w:ascii="Bookman Old Style" w:hAnsi="Bookman Old Style"/>
                <w:b/>
                <w:i/>
                <w:color w:val="000000"/>
              </w:rPr>
              <w:t>comma 438</w:t>
            </w:r>
            <w:r w:rsidRPr="000778A2">
              <w:rPr>
                <w:rFonts w:ascii="Bookman Old Style" w:hAnsi="Bookman Old Style"/>
                <w:i/>
                <w:color w:val="000000"/>
              </w:rPr>
              <w:t xml:space="preserve"> istituisce un ulteriore Fondo denominato </w:t>
            </w:r>
            <w:r w:rsidRPr="000778A2">
              <w:rPr>
                <w:rFonts w:ascii="Bookman Old Style" w:eastAsia="Times New Roman" w:hAnsi="Bookman Old Style" w:cs="Arial"/>
                <w:i/>
                <w:lang w:eastAsia="it-IT"/>
              </w:rPr>
              <w:t xml:space="preserve">«Fondo da ripartire per il finanziamento di interventi a favore degli Enti territoriali», con dotazione pari a: </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a) 969,6 milioni di euro per ciascuno degli anni dal 2017 al 2026;</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b) 935 milioni di euro per ciascuno degli anni dal 2027 al 2046;</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c) 925 milioni di euro annui a decorrere dall'anno 2047.</w:t>
            </w: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4</w:t>
            </w:r>
            <w:r>
              <w:rPr>
                <w:rFonts w:ascii="Bookman Old Style" w:eastAsia="Times New Roman" w:hAnsi="Bookman Old Style" w:cs="Arial"/>
                <w:lang w:eastAsia="it-IT"/>
              </w:rPr>
              <w:t>39</w:t>
            </w:r>
            <w:r w:rsidRPr="00E847D3">
              <w:rPr>
                <w:rFonts w:ascii="Bookman Old Style" w:eastAsia="Times New Roman" w:hAnsi="Bookman Old Style" w:cs="Arial"/>
                <w:lang w:eastAsia="it-IT"/>
              </w:rPr>
              <w:t>. I beneficiari, le finalità, i criteri e le modalità di rip</w:t>
            </w:r>
            <w:r>
              <w:rPr>
                <w:rFonts w:ascii="Bookman Old Style" w:eastAsia="Times New Roman" w:hAnsi="Bookman Old Style" w:cs="Arial"/>
                <w:lang w:eastAsia="it-IT"/>
              </w:rPr>
              <w:t>arto dei fondi di cui ai commi 433</w:t>
            </w:r>
            <w:r w:rsidRPr="00E847D3">
              <w:rPr>
                <w:rFonts w:ascii="Bookman Old Style" w:eastAsia="Times New Roman" w:hAnsi="Bookman Old Style" w:cs="Arial"/>
                <w:lang w:eastAsia="it-IT"/>
              </w:rPr>
              <w:t xml:space="preserve"> e </w:t>
            </w:r>
            <w:r>
              <w:rPr>
                <w:rFonts w:ascii="Bookman Old Style" w:eastAsia="Times New Roman" w:hAnsi="Bookman Old Style" w:cs="Arial"/>
                <w:lang w:eastAsia="it-IT"/>
              </w:rPr>
              <w:t>4</w:t>
            </w:r>
            <w:r w:rsidRPr="00E847D3">
              <w:rPr>
                <w:rFonts w:ascii="Bookman Old Style" w:eastAsia="Times New Roman" w:hAnsi="Bookman Old Style" w:cs="Arial"/>
                <w:lang w:eastAsia="it-IT"/>
              </w:rPr>
              <w:t>3</w:t>
            </w:r>
            <w:r>
              <w:rPr>
                <w:rFonts w:ascii="Bookman Old Style" w:eastAsia="Times New Roman" w:hAnsi="Bookman Old Style" w:cs="Arial"/>
                <w:lang w:eastAsia="it-IT"/>
              </w:rPr>
              <w:t>8</w:t>
            </w:r>
            <w:r w:rsidRPr="00E847D3">
              <w:rPr>
                <w:rFonts w:ascii="Bookman Old Style" w:eastAsia="Times New Roman" w:hAnsi="Bookman Old Style" w:cs="Arial"/>
                <w:lang w:eastAsia="it-IT"/>
              </w:rPr>
              <w:t>, sono disciplinati con uno o più decreti del Presidente del Consiglio dei ministri, su proposta del Ministro dell'economia e delle finanze, da adottare entro il 31 gennaio 2017, previa intesa in sede di Conferenza unificata di cui all'</w:t>
            </w:r>
            <w:hyperlink r:id="rId39" w:anchor="art8" w:tgtFrame="rifNormativi" w:history="1">
              <w:r w:rsidRPr="00CF63B8">
                <w:rPr>
                  <w:rFonts w:ascii="Bookman Old Style" w:eastAsia="Times New Roman" w:hAnsi="Bookman Old Style" w:cs="Arial"/>
                  <w:lang w:eastAsia="it-IT"/>
                </w:rPr>
                <w:t>articolo 8 del decreto legislativo 28 agosto 1997, n. 281</w:t>
              </w:r>
            </w:hyperlink>
            <w:r w:rsidRPr="00E847D3">
              <w:rPr>
                <w:rFonts w:ascii="Bookman Old Style" w:eastAsia="Times New Roman" w:hAnsi="Bookman Old Style" w:cs="Arial"/>
                <w:lang w:eastAsia="it-IT"/>
              </w:rPr>
              <w:t>.</w:t>
            </w:r>
          </w:p>
        </w:tc>
        <w:tc>
          <w:tcPr>
            <w:tcW w:w="7139" w:type="dxa"/>
            <w:gridSpan w:val="3"/>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La definizione delle finalità, dei beneficiari, nonché dei criteri e delle modalità di riparto di entrambi i Fondi è demandata dal </w:t>
            </w:r>
            <w:r w:rsidRPr="000778A2">
              <w:rPr>
                <w:rFonts w:ascii="Bookman Old Style" w:hAnsi="Bookman Old Style"/>
                <w:b/>
                <w:i/>
                <w:color w:val="000000"/>
              </w:rPr>
              <w:t>comma 439</w:t>
            </w:r>
            <w:r w:rsidRPr="000778A2">
              <w:rPr>
                <w:rFonts w:ascii="Bookman Old Style" w:hAnsi="Bookman Old Style"/>
                <w:i/>
                <w:color w:val="000000"/>
              </w:rPr>
              <w:t xml:space="preserve"> all’approvazione di </w:t>
            </w:r>
            <w:r w:rsidRPr="000778A2">
              <w:rPr>
                <w:rFonts w:ascii="Bookman Old Style" w:eastAsia="Times New Roman" w:hAnsi="Bookman Old Style" w:cs="Arial"/>
                <w:i/>
                <w:lang w:eastAsia="it-IT"/>
              </w:rPr>
              <w:t>uno o più decreti del Presidente del Consiglio dei ministri, su proposta del Ministro dell'economia e delle finanze, da adottare entro il 31 gennaio 2017, previa intesa in sede di Conferenza unificata.</w:t>
            </w:r>
          </w:p>
        </w:tc>
      </w:tr>
      <w:tr w:rsidR="00975571" w:rsidTr="00086B81">
        <w:trPr>
          <w:gridAfter w:val="1"/>
          <w:wAfter w:w="150" w:type="dxa"/>
        </w:trPr>
        <w:tc>
          <w:tcPr>
            <w:tcW w:w="7138" w:type="dxa"/>
          </w:tcPr>
          <w:p w:rsidR="00975571" w:rsidRPr="00CA237A" w:rsidRDefault="00975571" w:rsidP="00975571">
            <w:pPr>
              <w:shd w:val="clear" w:color="auto" w:fill="FFFFFF"/>
              <w:jc w:val="both"/>
              <w:rPr>
                <w:rFonts w:ascii="Bookman Old Style" w:eastAsia="Times New Roman" w:hAnsi="Bookman Old Style" w:cs="Arial"/>
                <w:b/>
                <w:lang w:eastAsia="it-IT"/>
              </w:rPr>
            </w:pPr>
            <w:r w:rsidRPr="00CA237A">
              <w:rPr>
                <w:rFonts w:ascii="Bookman Old Style" w:eastAsia="Times New Roman" w:hAnsi="Bookman Old Style" w:cs="Arial"/>
                <w:b/>
                <w:lang w:eastAsia="it-IT"/>
              </w:rPr>
              <w:t>440. All’articolo 7, comma 2, del decreto-legge 19 giugno 2015, n. 78, convertito,</w:t>
            </w:r>
            <w:r>
              <w:rPr>
                <w:rFonts w:ascii="Bookman Old Style" w:eastAsia="Times New Roman" w:hAnsi="Bookman Old Style" w:cs="Arial"/>
                <w:b/>
                <w:lang w:eastAsia="it-IT"/>
              </w:rPr>
              <w:t xml:space="preserve"> </w:t>
            </w:r>
            <w:r w:rsidRPr="00CA237A">
              <w:rPr>
                <w:rFonts w:ascii="Bookman Old Style" w:eastAsia="Times New Roman" w:hAnsi="Bookman Old Style" w:cs="Arial"/>
                <w:b/>
                <w:lang w:eastAsia="it-IT"/>
              </w:rPr>
              <w:t>con modificazioni, dalla legge 6 agosto</w:t>
            </w:r>
            <w:r>
              <w:rPr>
                <w:rFonts w:ascii="Bookman Old Style" w:eastAsia="Times New Roman" w:hAnsi="Bookman Old Style" w:cs="Arial"/>
                <w:b/>
                <w:lang w:eastAsia="it-IT"/>
              </w:rPr>
              <w:t xml:space="preserve"> </w:t>
            </w:r>
            <w:r w:rsidRPr="00CA237A">
              <w:rPr>
                <w:rFonts w:ascii="Bookman Old Style" w:eastAsia="Times New Roman" w:hAnsi="Bookman Old Style" w:cs="Arial"/>
                <w:b/>
                <w:lang w:eastAsia="it-IT"/>
              </w:rPr>
              <w:t>2015, n. 125, le parole: « Per gli anni 2015</w:t>
            </w:r>
            <w:r>
              <w:rPr>
                <w:rFonts w:ascii="Bookman Old Style" w:eastAsia="Times New Roman" w:hAnsi="Bookman Old Style" w:cs="Arial"/>
                <w:b/>
                <w:lang w:eastAsia="it-IT"/>
              </w:rPr>
              <w:t xml:space="preserve"> </w:t>
            </w:r>
            <w:r w:rsidRPr="00CA237A">
              <w:rPr>
                <w:rFonts w:ascii="Bookman Old Style" w:eastAsia="Times New Roman" w:hAnsi="Bookman Old Style" w:cs="Arial"/>
                <w:b/>
                <w:lang w:eastAsia="it-IT"/>
              </w:rPr>
              <w:t>e 2016 » sono sostituite dalle seguenti: « Per</w:t>
            </w:r>
            <w:r>
              <w:rPr>
                <w:rFonts w:ascii="Bookman Old Style" w:eastAsia="Times New Roman" w:hAnsi="Bookman Old Style" w:cs="Arial"/>
                <w:b/>
                <w:lang w:eastAsia="it-IT"/>
              </w:rPr>
              <w:t xml:space="preserve"> </w:t>
            </w:r>
            <w:r w:rsidRPr="00CA237A">
              <w:rPr>
                <w:rFonts w:ascii="Bookman Old Style" w:eastAsia="Times New Roman" w:hAnsi="Bookman Old Style" w:cs="Arial"/>
                <w:b/>
                <w:lang w:eastAsia="it-IT"/>
              </w:rPr>
              <w:t>gli anni 2015, 2016 e 2017 ».</w:t>
            </w:r>
          </w:p>
        </w:tc>
        <w:tc>
          <w:tcPr>
            <w:tcW w:w="7139" w:type="dxa"/>
            <w:gridSpan w:val="3"/>
          </w:tcPr>
          <w:p w:rsidR="00975571" w:rsidRPr="00975571" w:rsidRDefault="00975571" w:rsidP="00F21FD7">
            <w:pPr>
              <w:jc w:val="both"/>
              <w:rPr>
                <w:rFonts w:ascii="Bookman Old Style" w:hAnsi="Bookman Old Style"/>
                <w:color w:val="000000"/>
              </w:rPr>
            </w:pPr>
            <w:r w:rsidRPr="00975571">
              <w:rPr>
                <w:rFonts w:ascii="Bookman Old Style" w:hAnsi="Bookman Old Style"/>
                <w:i/>
                <w:color w:val="000000"/>
              </w:rPr>
              <w:t xml:space="preserve">Il </w:t>
            </w:r>
            <w:r w:rsidRPr="00975571">
              <w:rPr>
                <w:rFonts w:ascii="Bookman Old Style" w:hAnsi="Bookman Old Style"/>
                <w:b/>
                <w:i/>
                <w:color w:val="000000"/>
              </w:rPr>
              <w:t>comma 440</w:t>
            </w:r>
            <w:r w:rsidRPr="00975571">
              <w:rPr>
                <w:rFonts w:ascii="Bookman Old Style" w:hAnsi="Bookman Old Style"/>
                <w:i/>
                <w:color w:val="000000"/>
              </w:rPr>
              <w:t xml:space="preserve"> </w:t>
            </w:r>
            <w:r w:rsidR="00F21FD7">
              <w:rPr>
                <w:rFonts w:ascii="Bookman Old Style" w:hAnsi="Bookman Old Style"/>
                <w:i/>
                <w:color w:val="000000"/>
              </w:rPr>
              <w:t xml:space="preserve">estende al </w:t>
            </w:r>
            <w:r w:rsidRPr="00975571">
              <w:rPr>
                <w:rFonts w:ascii="Bookman Old Style" w:hAnsi="Bookman Old Style"/>
                <w:i/>
                <w:color w:val="000000"/>
              </w:rPr>
              <w:t>2017 la facoltà già concessa per il biennio 2015-2016, di utilizzare liberamente, quindi anche per la spesa corrente, i risparmi di linea capitale derivanti da operazioni di rinegoziazione dei mutui, in deroga alla disciplina ordinaria che prevede il libero utilizzo solo della quota relativa ai risparmi in conto interessi.</w:t>
            </w:r>
            <w:r w:rsidR="00644BA2">
              <w:rPr>
                <w:rFonts w:ascii="Bookman Old Style" w:hAnsi="Bookman Old Style"/>
                <w:i/>
                <w:color w:val="000000"/>
              </w:rPr>
              <w:t xml:space="preserve"> La norma riguarda tutti gli enti locali.</w:t>
            </w:r>
          </w:p>
        </w:tc>
      </w:tr>
      <w:tr w:rsidR="00975571" w:rsidTr="00086B81">
        <w:trPr>
          <w:gridAfter w:val="1"/>
          <w:wAfter w:w="150" w:type="dxa"/>
        </w:trPr>
        <w:tc>
          <w:tcPr>
            <w:tcW w:w="7138" w:type="dxa"/>
          </w:tcPr>
          <w:p w:rsidR="00975571" w:rsidRPr="00613EBE" w:rsidRDefault="00975571" w:rsidP="00975571">
            <w:pPr>
              <w:shd w:val="clear" w:color="auto" w:fill="FFFFFF"/>
              <w:jc w:val="both"/>
              <w:rPr>
                <w:rFonts w:ascii="Bookman Old Style" w:eastAsia="Times New Roman" w:hAnsi="Bookman Old Style" w:cs="Arial"/>
                <w:b/>
                <w:lang w:eastAsia="it-IT"/>
              </w:rPr>
            </w:pPr>
            <w:r w:rsidRPr="00613EBE">
              <w:rPr>
                <w:rFonts w:ascii="Bookman Old Style" w:eastAsia="Times New Roman" w:hAnsi="Bookman Old Style" w:cs="Arial"/>
                <w:b/>
                <w:lang w:eastAsia="it-IT"/>
              </w:rPr>
              <w:t>441. Per l’anno 2017 gli enti locali possono realizzare le operazioni di rinegoziazione di mutui di cui all’articolo 1, commi 430 e 537, della legge 23 dicembre 2014, n. 190, anche nel corso dell’esercizio provvisorio di cui all’articolo 163 del testo unico di cui al decreto legislativo 18 agosto 2000, n. 267, fermo restando l’obbligo, a carico dei medesimi enti, di effettuare le relative iscrizioni nel bilancio di previsione.</w:t>
            </w:r>
          </w:p>
          <w:p w:rsidR="00613EBE" w:rsidRPr="00613EBE" w:rsidRDefault="00613EBE" w:rsidP="00975571">
            <w:pPr>
              <w:shd w:val="clear" w:color="auto" w:fill="FFFFFF"/>
              <w:jc w:val="both"/>
              <w:rPr>
                <w:rFonts w:ascii="Bookman Old Style" w:eastAsia="Times New Roman" w:hAnsi="Bookman Old Style" w:cs="Arial"/>
                <w:b/>
                <w:lang w:eastAsia="it-IT"/>
              </w:rPr>
            </w:pPr>
          </w:p>
          <w:p w:rsidR="00613EBE" w:rsidRPr="00613EBE" w:rsidRDefault="00613EBE" w:rsidP="00975571">
            <w:pPr>
              <w:shd w:val="clear" w:color="auto" w:fill="FFFFFF"/>
              <w:jc w:val="both"/>
              <w:rPr>
                <w:rFonts w:ascii="Bookman Old Style" w:eastAsia="Times New Roman" w:hAnsi="Bookman Old Style" w:cs="Arial"/>
                <w:b/>
                <w:lang w:eastAsia="it-IT"/>
              </w:rPr>
            </w:pPr>
          </w:p>
          <w:p w:rsidR="00613EBE" w:rsidRDefault="00613EBE" w:rsidP="00975571">
            <w:pPr>
              <w:shd w:val="clear" w:color="auto" w:fill="FFFFFF"/>
              <w:jc w:val="both"/>
              <w:rPr>
                <w:rFonts w:ascii="Bookman Old Style" w:eastAsia="Times New Roman" w:hAnsi="Bookman Old Style" w:cs="Arial"/>
                <w:b/>
                <w:lang w:eastAsia="it-IT"/>
              </w:rPr>
            </w:pPr>
          </w:p>
          <w:p w:rsidR="00E64C89" w:rsidRDefault="00E64C89" w:rsidP="00975571">
            <w:pPr>
              <w:shd w:val="clear" w:color="auto" w:fill="FFFFFF"/>
              <w:jc w:val="both"/>
              <w:rPr>
                <w:rFonts w:ascii="Bookman Old Style" w:eastAsia="Times New Roman" w:hAnsi="Bookman Old Style" w:cs="Arial"/>
                <w:b/>
                <w:lang w:eastAsia="it-IT"/>
              </w:rPr>
            </w:pPr>
          </w:p>
          <w:p w:rsidR="00E64C89" w:rsidRDefault="00E64C89" w:rsidP="00975571">
            <w:pPr>
              <w:shd w:val="clear" w:color="auto" w:fill="FFFFFF"/>
              <w:jc w:val="both"/>
              <w:rPr>
                <w:rFonts w:ascii="Bookman Old Style" w:eastAsia="Times New Roman" w:hAnsi="Bookman Old Style" w:cs="Arial"/>
                <w:b/>
                <w:lang w:eastAsia="it-IT"/>
              </w:rPr>
            </w:pPr>
          </w:p>
          <w:p w:rsidR="00E64C89" w:rsidRDefault="00E64C89" w:rsidP="00975571">
            <w:pPr>
              <w:shd w:val="clear" w:color="auto" w:fill="FFFFFF"/>
              <w:jc w:val="both"/>
              <w:rPr>
                <w:rFonts w:ascii="Bookman Old Style" w:eastAsia="Times New Roman" w:hAnsi="Bookman Old Style" w:cs="Arial"/>
                <w:b/>
                <w:lang w:eastAsia="it-IT"/>
              </w:rPr>
            </w:pPr>
          </w:p>
          <w:p w:rsidR="00E64C89" w:rsidRDefault="00E64C89" w:rsidP="00975571">
            <w:pPr>
              <w:shd w:val="clear" w:color="auto" w:fill="FFFFFF"/>
              <w:jc w:val="both"/>
              <w:rPr>
                <w:rFonts w:ascii="Bookman Old Style" w:eastAsia="Times New Roman" w:hAnsi="Bookman Old Style" w:cs="Arial"/>
                <w:b/>
                <w:lang w:eastAsia="it-IT"/>
              </w:rPr>
            </w:pPr>
          </w:p>
          <w:p w:rsidR="00E64C89" w:rsidRDefault="00E64C89" w:rsidP="00975571">
            <w:pPr>
              <w:shd w:val="clear" w:color="auto" w:fill="FFFFFF"/>
              <w:jc w:val="both"/>
              <w:rPr>
                <w:rFonts w:ascii="Bookman Old Style" w:eastAsia="Times New Roman" w:hAnsi="Bookman Old Style" w:cs="Arial"/>
                <w:b/>
                <w:lang w:eastAsia="it-IT"/>
              </w:rPr>
            </w:pPr>
          </w:p>
          <w:p w:rsidR="00E64C89" w:rsidRPr="00613EBE" w:rsidRDefault="00E64C89" w:rsidP="00975571">
            <w:pPr>
              <w:shd w:val="clear" w:color="auto" w:fill="FFFFFF"/>
              <w:jc w:val="both"/>
              <w:rPr>
                <w:rFonts w:ascii="Bookman Old Style" w:eastAsia="Times New Roman" w:hAnsi="Bookman Old Style" w:cs="Arial"/>
                <w:b/>
                <w:lang w:eastAsia="it-IT"/>
              </w:rPr>
            </w:pPr>
          </w:p>
          <w:p w:rsidR="00613EBE" w:rsidRPr="00613EBE" w:rsidRDefault="00613EBE" w:rsidP="00975571">
            <w:pPr>
              <w:shd w:val="clear" w:color="auto" w:fill="FFFFFF"/>
              <w:jc w:val="both"/>
              <w:rPr>
                <w:rFonts w:ascii="Bookman Old Style" w:eastAsia="Times New Roman" w:hAnsi="Bookman Old Style" w:cs="Arial"/>
                <w:b/>
                <w:lang w:eastAsia="it-IT"/>
              </w:rPr>
            </w:pPr>
          </w:p>
          <w:p w:rsidR="00613EBE" w:rsidRPr="00613EBE" w:rsidRDefault="00613EBE" w:rsidP="00975571">
            <w:pPr>
              <w:shd w:val="clear" w:color="auto" w:fill="FFFFFF"/>
              <w:jc w:val="both"/>
              <w:rPr>
                <w:rFonts w:ascii="Bookman Old Style" w:eastAsia="Times New Roman" w:hAnsi="Bookman Old Style" w:cs="Arial"/>
                <w:b/>
                <w:lang w:eastAsia="it-IT"/>
              </w:rPr>
            </w:pPr>
            <w:r w:rsidRPr="00613EBE">
              <w:rPr>
                <w:rFonts w:ascii="Bookman Old Style" w:eastAsia="Times New Roman" w:hAnsi="Bookman Old Style" w:cs="Arial"/>
                <w:b/>
                <w:lang w:eastAsia="it-IT"/>
              </w:rPr>
              <w:t>442. All’articolo 1, comma 430, della legge 23 dicembre 2014, n. 190, le parole « negli anni 2015 e 2016 » sono sostituite dalle seguenti: « negli anni 2015, 2016 e 2017 ».</w:t>
            </w:r>
          </w:p>
        </w:tc>
        <w:tc>
          <w:tcPr>
            <w:tcW w:w="7139" w:type="dxa"/>
            <w:gridSpan w:val="3"/>
          </w:tcPr>
          <w:p w:rsidR="00644BA2" w:rsidRPr="00613EBE" w:rsidRDefault="00975571" w:rsidP="00975571">
            <w:pPr>
              <w:jc w:val="both"/>
              <w:rPr>
                <w:rFonts w:ascii="Bookman Old Style" w:hAnsi="Bookman Old Style"/>
                <w:i/>
                <w:color w:val="000000"/>
              </w:rPr>
            </w:pPr>
            <w:r w:rsidRPr="00613EBE">
              <w:rPr>
                <w:rFonts w:ascii="Bookman Old Style" w:hAnsi="Bookman Old Style"/>
                <w:i/>
                <w:color w:val="000000"/>
              </w:rPr>
              <w:lastRenderedPageBreak/>
              <w:t xml:space="preserve">Il </w:t>
            </w:r>
            <w:r w:rsidRPr="00613EBE">
              <w:rPr>
                <w:rFonts w:ascii="Bookman Old Style" w:hAnsi="Bookman Old Style"/>
                <w:b/>
                <w:i/>
                <w:color w:val="000000"/>
              </w:rPr>
              <w:t>comma 44</w:t>
            </w:r>
            <w:r w:rsidR="00E64C89">
              <w:rPr>
                <w:rFonts w:ascii="Bookman Old Style" w:hAnsi="Bookman Old Style"/>
                <w:b/>
                <w:i/>
                <w:color w:val="000000"/>
              </w:rPr>
              <w:t>1</w:t>
            </w:r>
            <w:r w:rsidRPr="00613EBE">
              <w:rPr>
                <w:rFonts w:ascii="Bookman Old Style" w:hAnsi="Bookman Old Style"/>
                <w:i/>
                <w:color w:val="000000"/>
              </w:rPr>
              <w:t xml:space="preserve"> riapre la possibilità per comuni, province, città metropolitane, comunità montane e isolane e unioni di comuni, di rinegoziare passività pregresse derivanti da accensione di mutui o emissione di prestiti obbligazionari, anche nel corso dell’esercizio provvisorio e fermo restando l’obbligo di effettuare le relative iscrizioni in bilancio, secondo le modalità previste dai commi 430 e 537 della legge di stabilità 2015. </w:t>
            </w:r>
            <w:r w:rsidR="00644BA2" w:rsidRPr="00613EBE">
              <w:rPr>
                <w:rFonts w:ascii="Bookman Old Style" w:hAnsi="Bookman Old Style"/>
                <w:i/>
                <w:color w:val="000000"/>
              </w:rPr>
              <w:t xml:space="preserve">Appare evidente che la rinegoziazione si deve concretizzare in provvedimenti attuativi e disponibilità da parte dei soggetti finanziatori e, in </w:t>
            </w:r>
            <w:r w:rsidR="00644BA2" w:rsidRPr="00613EBE">
              <w:rPr>
                <w:rFonts w:ascii="Bookman Old Style" w:hAnsi="Bookman Old Style"/>
                <w:i/>
                <w:color w:val="000000"/>
              </w:rPr>
              <w:lastRenderedPageBreak/>
              <w:t>particolare da parte della Cassa depositi e prestiti</w:t>
            </w:r>
          </w:p>
          <w:p w:rsidR="00975571" w:rsidRPr="00613EBE" w:rsidRDefault="00644BA2" w:rsidP="00644BA2">
            <w:pPr>
              <w:jc w:val="both"/>
              <w:rPr>
                <w:rFonts w:ascii="Bookman Old Style" w:hAnsi="Bookman Old Style"/>
                <w:i/>
                <w:color w:val="000000"/>
              </w:rPr>
            </w:pPr>
            <w:r w:rsidRPr="00613EBE">
              <w:rPr>
                <w:rFonts w:ascii="Bookman Old Style" w:hAnsi="Bookman Old Style"/>
                <w:i/>
                <w:color w:val="000000"/>
              </w:rPr>
              <w:t xml:space="preserve">Si ricorda che </w:t>
            </w:r>
            <w:r w:rsidR="00975571" w:rsidRPr="00613EBE">
              <w:rPr>
                <w:rFonts w:ascii="Bookman Old Style" w:hAnsi="Bookman Old Style"/>
                <w:i/>
                <w:color w:val="000000"/>
              </w:rPr>
              <w:t xml:space="preserve">il comma 537, in deroga al limite trentennale previsto dall’art. 62, comma 2, del dl 112/2008, consente di rinegoziare i mutui </w:t>
            </w:r>
            <w:r w:rsidRPr="00613EBE">
              <w:rPr>
                <w:rFonts w:ascii="Bookman Old Style" w:hAnsi="Bookman Old Style"/>
                <w:i/>
                <w:color w:val="000000"/>
              </w:rPr>
              <w:t xml:space="preserve">degli enti locali, anche </w:t>
            </w:r>
            <w:r w:rsidR="00975571" w:rsidRPr="00613EBE">
              <w:rPr>
                <w:rFonts w:ascii="Bookman Old Style" w:hAnsi="Bookman Old Style"/>
                <w:i/>
                <w:color w:val="000000"/>
              </w:rPr>
              <w:t>già rinegoziati</w:t>
            </w:r>
            <w:r w:rsidRPr="00613EBE">
              <w:rPr>
                <w:rFonts w:ascii="Bookman Old Style" w:hAnsi="Bookman Old Style"/>
                <w:i/>
                <w:color w:val="000000"/>
              </w:rPr>
              <w:t>,</w:t>
            </w:r>
            <w:r w:rsidR="00975571" w:rsidRPr="00613EBE">
              <w:rPr>
                <w:rFonts w:ascii="Bookman Old Style" w:hAnsi="Bookman Old Style"/>
                <w:i/>
                <w:color w:val="000000"/>
              </w:rPr>
              <w:t xml:space="preserve"> per una durata massima di trenta anni dal perfezionamento della nuova operazione di rinegoziazione. Il comma 430, invece, </w:t>
            </w:r>
            <w:r w:rsidRPr="00613EBE">
              <w:rPr>
                <w:rFonts w:ascii="Bookman Old Style" w:hAnsi="Bookman Old Style"/>
                <w:i/>
                <w:color w:val="000000"/>
              </w:rPr>
              <w:t xml:space="preserve">consentiva a </w:t>
            </w:r>
            <w:r w:rsidR="00975571" w:rsidRPr="00613EBE">
              <w:rPr>
                <w:rFonts w:ascii="Bookman Old Style" w:hAnsi="Bookman Old Style"/>
                <w:i/>
                <w:color w:val="000000"/>
              </w:rPr>
              <w:t xml:space="preserve">province e città metropolitane, anche nel corso dell’esercizio provvisorio, </w:t>
            </w:r>
            <w:r w:rsidRPr="00613EBE">
              <w:rPr>
                <w:rFonts w:ascii="Bookman Old Style" w:hAnsi="Bookman Old Style"/>
                <w:i/>
                <w:color w:val="000000"/>
              </w:rPr>
              <w:t xml:space="preserve">la rinegoziazione delle </w:t>
            </w:r>
            <w:r w:rsidR="00975571" w:rsidRPr="00613EBE">
              <w:rPr>
                <w:rFonts w:ascii="Bookman Old Style" w:hAnsi="Bookman Old Style"/>
                <w:i/>
                <w:color w:val="000000"/>
              </w:rPr>
              <w:t>rate di ammortamento in scadenza (cfr. comma 442).</w:t>
            </w:r>
          </w:p>
          <w:p w:rsidR="00613EBE" w:rsidRPr="00613EBE" w:rsidRDefault="00613EBE" w:rsidP="00613EBE">
            <w:pPr>
              <w:jc w:val="both"/>
              <w:rPr>
                <w:rFonts w:ascii="Bookman Old Style" w:hAnsi="Bookman Old Style"/>
                <w:i/>
                <w:color w:val="000000"/>
              </w:rPr>
            </w:pPr>
            <w:r w:rsidRPr="00613EBE">
              <w:rPr>
                <w:rFonts w:ascii="Bookman Old Style" w:hAnsi="Bookman Old Style"/>
                <w:i/>
                <w:color w:val="000000"/>
              </w:rPr>
              <w:t xml:space="preserve">Il </w:t>
            </w:r>
            <w:r w:rsidRPr="00613EBE">
              <w:rPr>
                <w:rFonts w:ascii="Bookman Old Style" w:hAnsi="Bookman Old Style"/>
                <w:b/>
                <w:i/>
                <w:color w:val="000000"/>
              </w:rPr>
              <w:t>comma 442</w:t>
            </w:r>
            <w:r w:rsidRPr="00613EBE">
              <w:rPr>
                <w:rFonts w:ascii="Bookman Old Style" w:hAnsi="Bookman Old Style"/>
                <w:i/>
                <w:color w:val="000000"/>
              </w:rPr>
              <w:t xml:space="preserve"> esplicita l’ampliamento della portata temporale del comma 430 e proroga al 2017 la facoltà per le province e le città metropolitane di rinegoziare le rate di ammortamento in scadenza nell'anno 2017 dei mutui non trasferiti al Ministero dell'economia e delle finanze in attuazione dell'articolo 5, commi 1 e 3, del dl 269/2003. Ne deriva la rimodulazione del relativo piano di ammortamento, anche in deroga alle disposizioni di cui al comma 2, lettera c), dell'articolo 204 del TUEL (obbligo di inclusione fin dalla prima rata della quota interessi). </w:t>
            </w:r>
          </w:p>
          <w:p w:rsidR="00613EBE" w:rsidRPr="00975571" w:rsidRDefault="00613EBE" w:rsidP="00613EBE">
            <w:pPr>
              <w:jc w:val="both"/>
              <w:rPr>
                <w:rFonts w:ascii="Bookman Old Style" w:hAnsi="Bookman Old Style"/>
                <w:i/>
                <w:color w:val="000000"/>
              </w:rPr>
            </w:pPr>
            <w:r w:rsidRPr="00613EBE">
              <w:rPr>
                <w:rFonts w:ascii="Bookman Old Style" w:hAnsi="Bookman Old Style"/>
                <w:i/>
                <w:color w:val="000000"/>
              </w:rPr>
              <w:t>La norma sembra ridondante in quanto già assorbita dall’ampia previsione del comma 441</w:t>
            </w: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443</w:t>
            </w:r>
            <w:r w:rsidRPr="00E847D3">
              <w:rPr>
                <w:rFonts w:ascii="Bookman Old Style" w:eastAsia="Times New Roman" w:hAnsi="Bookman Old Style" w:cs="Arial"/>
                <w:lang w:eastAsia="it-IT"/>
              </w:rPr>
              <w:t xml:space="preserve">. Il </w:t>
            </w:r>
            <w:r>
              <w:rPr>
                <w:rFonts w:ascii="Bookman Old Style" w:eastAsia="Times New Roman" w:hAnsi="Bookman Old Style" w:cs="Arial"/>
                <w:lang w:eastAsia="it-IT"/>
              </w:rPr>
              <w:t>commi da 433 a 442 del presente articolo</w:t>
            </w:r>
            <w:r w:rsidRPr="00E847D3">
              <w:rPr>
                <w:rFonts w:ascii="Bookman Old Style" w:eastAsia="Times New Roman" w:hAnsi="Bookman Old Style" w:cs="Arial"/>
                <w:lang w:eastAsia="it-IT"/>
              </w:rPr>
              <w:t xml:space="preserve"> entra</w:t>
            </w:r>
            <w:r>
              <w:rPr>
                <w:rFonts w:ascii="Bookman Old Style" w:eastAsia="Times New Roman" w:hAnsi="Bookman Old Style" w:cs="Arial"/>
                <w:lang w:eastAsia="it-IT"/>
              </w:rPr>
              <w:t>no</w:t>
            </w:r>
            <w:r w:rsidRPr="00E847D3">
              <w:rPr>
                <w:rFonts w:ascii="Bookman Old Style" w:eastAsia="Times New Roman" w:hAnsi="Bookman Old Style" w:cs="Arial"/>
                <w:lang w:eastAsia="it-IT"/>
              </w:rPr>
              <w:t xml:space="preserve"> in vigore il giorno stesso della pubblicazione della presente legge nella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Gazzetta Ufficiale</w:t>
            </w:r>
            <w:r w:rsidRPr="00E847D3">
              <w:rPr>
                <w:rFonts w:ascii="Bookman Old Style" w:eastAsia="Times New Roman" w:hAnsi="Bookman Old Style" w:cs="Arial"/>
                <w:lang w:eastAsia="it-IT"/>
              </w:rPr>
              <w:t>.</w:t>
            </w:r>
          </w:p>
        </w:tc>
        <w:tc>
          <w:tcPr>
            <w:tcW w:w="7139" w:type="dxa"/>
            <w:gridSpan w:val="3"/>
          </w:tcPr>
          <w:p w:rsidR="00F07B8A" w:rsidRPr="000778A2" w:rsidRDefault="00F07B8A" w:rsidP="00F07B8A">
            <w:pPr>
              <w:jc w:val="both"/>
              <w:rPr>
                <w:rFonts w:ascii="Bookman Old Style" w:hAnsi="Bookman Old Style"/>
                <w:b/>
                <w:i/>
                <w:color w:val="000000"/>
              </w:rPr>
            </w:pPr>
            <w:r w:rsidRPr="000778A2">
              <w:rPr>
                <w:rFonts w:ascii="Bookman Old Style" w:hAnsi="Bookman Old Style"/>
                <w:i/>
                <w:color w:val="000000"/>
              </w:rPr>
              <w:t xml:space="preserve">Il </w:t>
            </w:r>
            <w:r w:rsidRPr="000778A2">
              <w:rPr>
                <w:rFonts w:ascii="Bookman Old Style" w:hAnsi="Bookman Old Style"/>
                <w:b/>
                <w:i/>
                <w:color w:val="000000"/>
              </w:rPr>
              <w:t>comma</w:t>
            </w:r>
            <w:r w:rsidR="00FC47E0">
              <w:rPr>
                <w:rFonts w:ascii="Bookman Old Style" w:hAnsi="Bookman Old Style"/>
                <w:b/>
                <w:i/>
                <w:color w:val="000000"/>
              </w:rPr>
              <w:t xml:space="preserve"> </w:t>
            </w:r>
            <w:r w:rsidRPr="000778A2">
              <w:rPr>
                <w:rFonts w:ascii="Bookman Old Style" w:hAnsi="Bookman Old Style"/>
                <w:b/>
                <w:i/>
                <w:color w:val="000000"/>
              </w:rPr>
              <w:t>443</w:t>
            </w:r>
            <w:r>
              <w:rPr>
                <w:rFonts w:ascii="Bookman Old Style" w:hAnsi="Bookman Old Style"/>
                <w:b/>
                <w:i/>
                <w:color w:val="000000"/>
              </w:rPr>
              <w:t xml:space="preserve"> </w:t>
            </w:r>
            <w:r w:rsidRPr="000778A2">
              <w:rPr>
                <w:rFonts w:ascii="Bookman Old Style" w:hAnsi="Bookman Old Style"/>
                <w:i/>
                <w:color w:val="000000"/>
              </w:rPr>
              <w:t>dispone che i commi da 433 a 442</w:t>
            </w:r>
            <w:r w:rsidR="00F21FD7">
              <w:rPr>
                <w:rFonts w:ascii="Bookman Old Style" w:hAnsi="Bookman Old Style"/>
                <w:i/>
                <w:color w:val="000000"/>
              </w:rPr>
              <w:t xml:space="preserve"> </w:t>
            </w:r>
            <w:r w:rsidRPr="000778A2">
              <w:rPr>
                <w:rFonts w:ascii="Bookman Old Style" w:hAnsi="Bookman Old Style"/>
                <w:i/>
                <w:color w:val="000000"/>
              </w:rPr>
              <w:t xml:space="preserve">entrano in vigore </w:t>
            </w:r>
            <w:r w:rsidRPr="000778A2">
              <w:rPr>
                <w:rFonts w:ascii="Bookman Old Style" w:eastAsia="Times New Roman" w:hAnsi="Bookman Old Style" w:cs="Arial"/>
                <w:i/>
                <w:lang w:eastAsia="it-IT"/>
              </w:rPr>
              <w:t>il giorno stesso della pubblicazione nella </w:t>
            </w:r>
            <w:r w:rsidRPr="000778A2">
              <w:rPr>
                <w:rFonts w:ascii="Bookman Old Style" w:eastAsia="Times New Roman" w:hAnsi="Bookman Old Style" w:cs="Arial"/>
                <w:i/>
                <w:iCs/>
                <w:lang w:eastAsia="it-IT"/>
              </w:rPr>
              <w:t>Gazzetta Ufficiale</w:t>
            </w:r>
            <w:r w:rsidRPr="000778A2">
              <w:rPr>
                <w:rFonts w:ascii="Bookman Old Style" w:eastAsia="Times New Roman" w:hAnsi="Bookman Old Style" w:cs="Arial"/>
                <w:i/>
                <w:lang w:eastAsia="it-IT"/>
              </w:rPr>
              <w:t xml:space="preserve"> della legge di bilancio.</w:t>
            </w:r>
          </w:p>
        </w:tc>
      </w:tr>
      <w:tr w:rsidR="00086B81" w:rsidTr="00190A11">
        <w:trPr>
          <w:gridAfter w:val="1"/>
          <w:wAfter w:w="150" w:type="dxa"/>
        </w:trPr>
        <w:tc>
          <w:tcPr>
            <w:tcW w:w="14277" w:type="dxa"/>
            <w:gridSpan w:val="4"/>
          </w:tcPr>
          <w:p w:rsidR="00086B81" w:rsidRPr="000778A2" w:rsidRDefault="00086B81" w:rsidP="00190A11">
            <w:pPr>
              <w:spacing w:before="120" w:after="120"/>
              <w:jc w:val="center"/>
              <w:rPr>
                <w:rFonts w:ascii="Bookman Old Style" w:hAnsi="Bookman Old Style"/>
                <w:b/>
                <w:i/>
                <w:color w:val="000000"/>
              </w:rPr>
            </w:pPr>
            <w:r w:rsidRPr="000778A2">
              <w:rPr>
                <w:rFonts w:ascii="Bookman Old Style" w:hAnsi="Bookman Old Style"/>
                <w:b/>
                <w:bCs/>
                <w:i/>
                <w:color w:val="000000"/>
              </w:rPr>
              <w:t>Interve</w:t>
            </w:r>
            <w:r>
              <w:rPr>
                <w:rFonts w:ascii="Bookman Old Style" w:hAnsi="Bookman Old Style"/>
                <w:b/>
                <w:bCs/>
                <w:i/>
                <w:color w:val="000000"/>
              </w:rPr>
              <w:t>nti concernenti gli Enti Locali</w:t>
            </w: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444</w:t>
            </w:r>
            <w:r w:rsidRPr="00E847D3">
              <w:rPr>
                <w:rFonts w:ascii="Bookman Old Style" w:eastAsia="Times New Roman" w:hAnsi="Bookman Old Style" w:cs="Arial"/>
                <w:lang w:eastAsia="it-IT"/>
              </w:rPr>
              <w:t>. Al</w:t>
            </w:r>
            <w:r w:rsidRPr="00CF63B8">
              <w:rPr>
                <w:rFonts w:ascii="Bookman Old Style" w:eastAsia="Times New Roman" w:hAnsi="Bookman Old Style" w:cs="Arial"/>
                <w:lang w:eastAsia="it-IT"/>
              </w:rPr>
              <w:t> </w:t>
            </w:r>
            <w:hyperlink r:id="rId40" w:anchor="art16-com6" w:tgtFrame="rifNormativi" w:history="1">
              <w:r w:rsidRPr="00CF63B8">
                <w:rPr>
                  <w:rFonts w:ascii="Bookman Old Style" w:eastAsia="Times New Roman" w:hAnsi="Bookman Old Style" w:cs="Arial"/>
                  <w:lang w:eastAsia="it-IT"/>
                </w:rPr>
                <w:t>comma 6 dell'articolo 16 del decreto-legge 6 luglio 2012, n. 95</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41" w:tgtFrame="rifNormativi" w:history="1">
              <w:r w:rsidRPr="00CF63B8">
                <w:rPr>
                  <w:rFonts w:ascii="Bookman Old Style" w:eastAsia="Times New Roman" w:hAnsi="Bookman Old Style" w:cs="Arial"/>
                  <w:lang w:eastAsia="it-IT"/>
                </w:rPr>
                <w:t>legge 7 agosto 2012, n. 135</w:t>
              </w:r>
            </w:hyperlink>
            <w:r w:rsidRPr="00E847D3">
              <w:rPr>
                <w:rFonts w:ascii="Bookman Old Style" w:eastAsia="Times New Roman" w:hAnsi="Bookman Old Style" w:cs="Arial"/>
                <w:lang w:eastAsia="it-IT"/>
              </w:rPr>
              <w:t>, il quarto periodo è sostituito dai seguenti: «Le riduzioni da applicare a</w:t>
            </w:r>
            <w:r>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 xml:space="preserve">ciascun comune a decorrere dall'anno 2013 sono determinate, con decreto del Ministero dell'interno, d'intesa con la Conferenza Stato-città ed autonomie locali. In caso di mancata intesa entro 45 giorni dalla data di prima iscrizione all'ordine del giorno della Conferenza Stato-città ed autonomie locali della proposta di riparto delle riduzioni di cui al periodo precedente, il decreto del Ministero dell'interno può, comunque, essere adottato ripartendo le riduzioni in proporzione alla media </w:t>
            </w:r>
            <w:r w:rsidRPr="00E847D3">
              <w:rPr>
                <w:rFonts w:ascii="Bookman Old Style" w:eastAsia="Times New Roman" w:hAnsi="Bookman Old Style" w:cs="Arial"/>
                <w:shd w:val="clear" w:color="auto" w:fill="FFFFFF"/>
                <w:lang w:eastAsia="it-IT"/>
              </w:rPr>
              <w:lastRenderedPageBreak/>
              <w:t>delle spese sostenute per consumi intermedi nel triennio 2010-2012, desunte dal SIOPE, fermo restando che la riduzione per abitante di ciascun ente non può assumere valore superiore al 250 per cento della media costituita dal rapporto fra riduzioni calcolate sulla base dei dati SIOPE 2010-2012 e la popolazione residente di tutti i comuni, relativamente a ciascuna classe demografica di cui all'articolo 156 del testo unico di cui al</w:t>
            </w:r>
            <w:r w:rsidRPr="00CF63B8">
              <w:rPr>
                <w:rFonts w:ascii="Bookman Old Style" w:eastAsia="Times New Roman" w:hAnsi="Bookman Old Style" w:cs="Arial"/>
                <w:lang w:eastAsia="it-IT"/>
              </w:rPr>
              <w:t> </w:t>
            </w:r>
            <w:hyperlink r:id="rId42"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shd w:val="clear" w:color="auto" w:fill="FFFFFF"/>
                <w:lang w:eastAsia="it-IT"/>
              </w:rPr>
              <w:t>».</w:t>
            </w:r>
            <w:r w:rsidRPr="00CF63B8">
              <w:rPr>
                <w:rFonts w:ascii="Bookman Old Style" w:eastAsia="Times New Roman" w:hAnsi="Bookman Old Style" w:cs="Arial"/>
                <w:lang w:eastAsia="it-IT"/>
              </w:rPr>
              <w:t> </w:t>
            </w:r>
          </w:p>
          <w:p w:rsidR="00F07B8A" w:rsidRPr="00FA3F09" w:rsidRDefault="00F07B8A" w:rsidP="00F07B8A">
            <w:pPr>
              <w:jc w:val="center"/>
              <w:rPr>
                <w:rFonts w:ascii="Bookman Old Style" w:hAnsi="Bookman Old Style"/>
                <w:b/>
                <w:bCs/>
                <w:color w:val="000000"/>
              </w:rPr>
            </w:pPr>
          </w:p>
        </w:tc>
        <w:tc>
          <w:tcPr>
            <w:tcW w:w="7139" w:type="dxa"/>
            <w:gridSpan w:val="3"/>
          </w:tcPr>
          <w:p w:rsidR="00F07B8A" w:rsidRPr="00C25018" w:rsidRDefault="00F07B8A" w:rsidP="00F07B8A">
            <w:pPr>
              <w:jc w:val="both"/>
              <w:rPr>
                <w:rFonts w:ascii="Bookman Old Style" w:hAnsi="Bookman Old Style"/>
                <w:i/>
                <w:color w:val="000000"/>
              </w:rPr>
            </w:pPr>
            <w:r w:rsidRPr="00C25018">
              <w:rPr>
                <w:rFonts w:ascii="Bookman Old Style" w:hAnsi="Bookman Old Style"/>
                <w:i/>
                <w:color w:val="000000"/>
              </w:rPr>
              <w:lastRenderedPageBreak/>
              <w:t xml:space="preserve">Il </w:t>
            </w:r>
            <w:r w:rsidRPr="00C25018">
              <w:rPr>
                <w:rFonts w:ascii="Bookman Old Style" w:hAnsi="Bookman Old Style"/>
                <w:b/>
                <w:i/>
                <w:color w:val="000000"/>
              </w:rPr>
              <w:t>comma 444</w:t>
            </w:r>
            <w:r w:rsidRPr="00C25018">
              <w:rPr>
                <w:rFonts w:ascii="Bookman Old Style" w:hAnsi="Bookman Old Style"/>
                <w:i/>
                <w:color w:val="000000"/>
              </w:rPr>
              <w:t xml:space="preserve"> modifica il comma 6 dell’articolo 16 del dl 95/2012 (cd spending review) riguardante la determinazione delle riduzioni da applicare a ciascun Comune a decorrere dal 2013 a valere sul Fondo Sperimentale di Riequilibrio, sul Fondo di Solidarietà Comunale e sui trasferimenti erariali dovuti ai Comuni delle regioni Sicilia e Sardegna. Si ricorda che, nel caso dei Comuni, il decreto spending review prevedeva un taglio di risorse di entità pari a 2,25 mld. di euro per il 2013, 2,5 mld. di euro per il 2014 e 2,6 mld. di euro dal 2015 in poi.</w:t>
            </w:r>
          </w:p>
          <w:p w:rsidR="00F07B8A" w:rsidRPr="00C25018" w:rsidRDefault="00F07B8A" w:rsidP="00F07B8A">
            <w:pPr>
              <w:jc w:val="both"/>
              <w:rPr>
                <w:rFonts w:ascii="Bookman Old Style" w:eastAsia="Times New Roman" w:hAnsi="Bookman Old Style" w:cs="Arial"/>
                <w:i/>
                <w:shd w:val="clear" w:color="auto" w:fill="FFFFFF"/>
                <w:lang w:eastAsia="it-IT"/>
              </w:rPr>
            </w:pPr>
            <w:r w:rsidRPr="00C25018">
              <w:rPr>
                <w:rFonts w:ascii="Bookman Old Style" w:hAnsi="Bookman Old Style"/>
                <w:i/>
                <w:color w:val="000000"/>
              </w:rPr>
              <w:t>In particolare, la nuova disposizione –</w:t>
            </w:r>
            <w:r w:rsidR="00086B81">
              <w:rPr>
                <w:rFonts w:ascii="Bookman Old Style" w:hAnsi="Bookman Old Style"/>
                <w:i/>
                <w:color w:val="000000"/>
              </w:rPr>
              <w:t xml:space="preserve"> </w:t>
            </w:r>
            <w:r w:rsidRPr="00C25018">
              <w:rPr>
                <w:rFonts w:ascii="Bookman Old Style" w:hAnsi="Bookman Old Style"/>
                <w:i/>
                <w:color w:val="000000"/>
              </w:rPr>
              <w:t xml:space="preserve">cosi come modificata dal comma 444 – prevede, diversamente dalla vigente formulazione, </w:t>
            </w:r>
            <w:r w:rsidRPr="00C25018">
              <w:rPr>
                <w:rFonts w:ascii="Bookman Old Style" w:hAnsi="Bookman Old Style"/>
                <w:i/>
                <w:color w:val="000000"/>
              </w:rPr>
              <w:lastRenderedPageBreak/>
              <w:t xml:space="preserve">che le riduzioni siano determinate </w:t>
            </w:r>
            <w:r w:rsidRPr="00C25018">
              <w:rPr>
                <w:rFonts w:ascii="Bookman Old Style" w:eastAsia="Times New Roman" w:hAnsi="Bookman Old Style" w:cs="Arial"/>
                <w:i/>
                <w:shd w:val="clear" w:color="auto" w:fill="FFFFFF"/>
                <w:lang w:eastAsia="it-IT"/>
              </w:rPr>
              <w:t>con decreto del Ministero dell'interno, d'intesa con la Conferenza Stato-città ed autonomie locali.</w:t>
            </w:r>
          </w:p>
          <w:p w:rsidR="00F07B8A" w:rsidRPr="00C25018" w:rsidRDefault="00F07B8A" w:rsidP="00F07B8A">
            <w:pPr>
              <w:jc w:val="both"/>
              <w:rPr>
                <w:rFonts w:ascii="Bookman Old Style" w:eastAsia="Times New Roman" w:hAnsi="Bookman Old Style" w:cs="Arial"/>
                <w:i/>
                <w:shd w:val="clear" w:color="auto" w:fill="FFFFFF"/>
                <w:lang w:eastAsia="it-IT"/>
              </w:rPr>
            </w:pPr>
            <w:r w:rsidRPr="00C25018">
              <w:rPr>
                <w:rFonts w:ascii="Bookman Old Style" w:eastAsia="Times New Roman" w:hAnsi="Bookman Old Style" w:cs="Arial"/>
                <w:i/>
                <w:shd w:val="clear" w:color="auto" w:fill="FFFFFF"/>
                <w:lang w:eastAsia="it-IT"/>
              </w:rPr>
              <w:t>Solo in caso di mancata intesa entro 45 giorni dalla data di prima iscrizione all'ordine del giorno della Conferenza Stato-città ed autonomie locali della proposta di riparto delle riduzioni, il Ministero dell’Interno può procedere ad adottare unilateralmente il decreto di ripartizione delle riduzioni che devono essere definite in proporzione alla media delle spese sostenute per consumi intermedi nel triennio 2010-2012 desunte dal SIOPE, fermo restando che la riduzione per abitante di ciascun ente non può assumere valore superiore al 250 per cento della media costituita dal rapporto fra riduzioni calcolate sulla base dei dati SIOPE 2010-2012 e la popolazione residente di tutti i comuni, relativamente a ciascuna classe demografica.</w:t>
            </w:r>
          </w:p>
          <w:p w:rsidR="00F07B8A" w:rsidRPr="00C25018" w:rsidRDefault="00F07B8A" w:rsidP="00F07B8A">
            <w:pPr>
              <w:jc w:val="both"/>
              <w:rPr>
                <w:rFonts w:ascii="Bookman Old Style" w:eastAsia="Times New Roman" w:hAnsi="Bookman Old Style" w:cs="Arial"/>
                <w:i/>
                <w:shd w:val="clear" w:color="auto" w:fill="FFFFFF"/>
                <w:lang w:eastAsia="it-IT"/>
              </w:rPr>
            </w:pPr>
            <w:r w:rsidRPr="00C25018">
              <w:rPr>
                <w:rFonts w:ascii="Bookman Old Style" w:eastAsia="Times New Roman" w:hAnsi="Bookman Old Style" w:cs="Arial"/>
                <w:i/>
                <w:shd w:val="clear" w:color="auto" w:fill="FFFFFF"/>
                <w:lang w:eastAsia="it-IT"/>
              </w:rPr>
              <w:t xml:space="preserve">Tale modifica recepisce quanto stabilito dalla Corte Costituzionale con la sentenza n.129/2016 con la quale è stata dichiarata l’illegittimità dell’articolo </w:t>
            </w:r>
            <w:r w:rsidRPr="00C25018">
              <w:rPr>
                <w:rFonts w:ascii="Bookman Old Style" w:hAnsi="Bookman Old Style"/>
                <w:i/>
                <w:color w:val="000000"/>
              </w:rPr>
              <w:t>16, comma 6, del dl 95/2012 nella parte in cui prevede la riduzione del Fondo sperimentale di riequilibrio senza alcun coinvolgimento degli enti interessati.</w:t>
            </w:r>
          </w:p>
        </w:tc>
      </w:tr>
      <w:tr w:rsidR="00F07B8A" w:rsidTr="00086B81">
        <w:trPr>
          <w:gridAfter w:val="1"/>
          <w:wAfter w:w="150" w:type="dxa"/>
        </w:trPr>
        <w:tc>
          <w:tcPr>
            <w:tcW w:w="7138" w:type="dxa"/>
          </w:tcPr>
          <w:p w:rsidR="00F07B8A" w:rsidRPr="000778A2" w:rsidRDefault="00F07B8A" w:rsidP="00F07B8A">
            <w:pPr>
              <w:shd w:val="clear" w:color="auto" w:fill="FFFFFF"/>
              <w:jc w:val="both"/>
              <w:rPr>
                <w:rFonts w:ascii="Bookman Old Style" w:eastAsia="Times New Roman" w:hAnsi="Bookman Old Style" w:cs="Arial"/>
                <w:b/>
                <w:lang w:eastAsia="it-IT"/>
              </w:rPr>
            </w:pPr>
            <w:r w:rsidRPr="000778A2">
              <w:rPr>
                <w:rFonts w:ascii="Bookman Old Style" w:eastAsia="Times New Roman" w:hAnsi="Bookman Old Style" w:cs="Arial"/>
                <w:b/>
                <w:lang w:eastAsia="it-IT"/>
              </w:rPr>
              <w:lastRenderedPageBreak/>
              <w:t>445. All’articolo 1, comma 347, della legge 28 dicembre 2015, n. 208, è aggiunto, in fine, il seguente periodo: « Alle spese relative al personale assunto con contratto a tempo determinato ai fini dell’attuazione del presente comma, fermo restando il rispetto degli obiettivi di finanza pubblica previsti per gli enti territoriali, fino al 31 dicembre 2019 non si applicano i limiti di cui all’articolo 9, comma 28, del decreto legge 31 maggio 2010, n. 78, convertito, con modificazioni, dalla legge 30 luglio 2010, n. 122, e le vigenti disposizioni in materia di contenimento della spesa di personale. ».</w:t>
            </w:r>
          </w:p>
        </w:tc>
        <w:tc>
          <w:tcPr>
            <w:tcW w:w="7139" w:type="dxa"/>
            <w:gridSpan w:val="3"/>
          </w:tcPr>
          <w:p w:rsidR="00F07B8A" w:rsidRPr="00C25018" w:rsidRDefault="00F07B8A" w:rsidP="00F07B8A">
            <w:pPr>
              <w:jc w:val="both"/>
              <w:rPr>
                <w:rFonts w:ascii="Bookman Old Style" w:hAnsi="Bookman Old Style"/>
                <w:i/>
              </w:rPr>
            </w:pPr>
            <w:r w:rsidRPr="00C25018">
              <w:rPr>
                <w:rFonts w:ascii="Bookman Old Style" w:hAnsi="Bookman Old Style"/>
                <w:i/>
                <w:color w:val="000000"/>
              </w:rPr>
              <w:t xml:space="preserve">Il </w:t>
            </w:r>
            <w:r w:rsidRPr="00E64C89">
              <w:rPr>
                <w:rFonts w:ascii="Bookman Old Style" w:hAnsi="Bookman Old Style"/>
                <w:b/>
                <w:i/>
                <w:color w:val="000000"/>
              </w:rPr>
              <w:t>comma 445</w:t>
            </w:r>
            <w:r w:rsidRPr="00C25018">
              <w:rPr>
                <w:rFonts w:ascii="Bookman Old Style" w:hAnsi="Bookman Old Style"/>
                <w:i/>
                <w:color w:val="000000"/>
              </w:rPr>
              <w:t xml:space="preserve"> prevede che </w:t>
            </w:r>
            <w:r w:rsidRPr="00C25018">
              <w:rPr>
                <w:rFonts w:ascii="Bookman Old Style" w:hAnsi="Bookman Old Style"/>
                <w:i/>
              </w:rPr>
              <w:t>fino al 31 dicembre 2019 e</w:t>
            </w:r>
            <w:r w:rsidRPr="00C25018">
              <w:rPr>
                <w:rFonts w:ascii="Bookman Old Style" w:hAnsi="Bookman Old Style"/>
                <w:i/>
                <w:color w:val="000000"/>
              </w:rPr>
              <w:t xml:space="preserve"> fermo </w:t>
            </w:r>
            <w:r w:rsidRPr="00C25018">
              <w:rPr>
                <w:rFonts w:ascii="Bookman Old Style" w:hAnsi="Bookman Old Style"/>
                <w:i/>
              </w:rPr>
              <w:t xml:space="preserve">restando il rispetto degli obiettivi di finanza pubblica previsti per gli enti territoriali, non si applicano alle </w:t>
            </w:r>
            <w:r w:rsidRPr="00C25018">
              <w:rPr>
                <w:rFonts w:ascii="Bookman Old Style" w:hAnsi="Bookman Old Style"/>
                <w:b/>
                <w:bCs/>
                <w:i/>
              </w:rPr>
              <w:t xml:space="preserve">spese di personale </w:t>
            </w:r>
            <w:r w:rsidRPr="00C25018">
              <w:rPr>
                <w:rFonts w:ascii="Bookman Old Style" w:hAnsi="Bookman Old Style"/>
                <w:i/>
              </w:rPr>
              <w:t xml:space="preserve">assunto con contratto a tempo determinato per consentire il </w:t>
            </w:r>
            <w:r w:rsidRPr="00C25018">
              <w:rPr>
                <w:rFonts w:ascii="Bookman Old Style" w:hAnsi="Bookman Old Style"/>
                <w:b/>
                <w:bCs/>
                <w:i/>
              </w:rPr>
              <w:t xml:space="preserve">completamento </w:t>
            </w:r>
            <w:r w:rsidRPr="00C25018">
              <w:rPr>
                <w:rFonts w:ascii="Bookman Old Style" w:hAnsi="Bookman Old Style"/>
                <w:i/>
              </w:rPr>
              <w:t xml:space="preserve">del </w:t>
            </w:r>
            <w:r w:rsidRPr="00C25018">
              <w:rPr>
                <w:rFonts w:ascii="Bookman Old Style" w:hAnsi="Bookman Old Style"/>
                <w:b/>
                <w:bCs/>
                <w:i/>
              </w:rPr>
              <w:t xml:space="preserve">restauro urbanistico ambientale dei rioni Sassi </w:t>
            </w:r>
            <w:r w:rsidRPr="00C25018">
              <w:rPr>
                <w:rFonts w:ascii="Bookman Old Style" w:hAnsi="Bookman Old Style"/>
                <w:i/>
              </w:rPr>
              <w:t xml:space="preserve">e dell’altopiano murgico di Matera (per il quale l’articolo 1, comma 347, della legge di stabilità per il 2016 ha autorizzato la spesa di 5 milioni di euro per ciascuno degli anni 2016, 2017, 2018 e 2019), le disposizioni in materia di limitazione delle spese per il personale a tempo determinato nelle pubbliche amministrazioni (previste dall’art. 9, c. 28, del D.L. 78/2010), nonché le vigenti disposizioni in materia di contenimento della spesa di personale. </w:t>
            </w:r>
          </w:p>
          <w:p w:rsidR="00F07B8A" w:rsidRPr="00C25018" w:rsidRDefault="00F07B8A" w:rsidP="00F07B8A">
            <w:pPr>
              <w:jc w:val="both"/>
              <w:rPr>
                <w:rFonts w:ascii="Bookman Old Style" w:hAnsi="Bookman Old Style"/>
                <w:i/>
                <w:color w:val="000000"/>
              </w:rPr>
            </w:pP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446</w:t>
            </w:r>
            <w:r w:rsidRPr="00E847D3">
              <w:rPr>
                <w:rFonts w:ascii="Bookman Old Style" w:eastAsia="Times New Roman" w:hAnsi="Bookman Old Style" w:cs="Arial"/>
                <w:shd w:val="clear" w:color="auto" w:fill="FFFFFF"/>
                <w:lang w:eastAsia="it-IT"/>
              </w:rPr>
              <w:t>. All'</w:t>
            </w:r>
            <w:hyperlink r:id="rId43" w:anchor="art1" w:tgtFrame="rifNormativi" w:history="1">
              <w:r w:rsidRPr="00CF63B8">
                <w:rPr>
                  <w:rFonts w:ascii="Bookman Old Style" w:eastAsia="Times New Roman" w:hAnsi="Bookman Old Style" w:cs="Arial"/>
                  <w:lang w:eastAsia="it-IT"/>
                </w:rPr>
                <w:t>articolo 1 della legge 24 dicembre 2012, n. 228</w:t>
              </w:r>
            </w:hyperlink>
            <w:r w:rsidRPr="00E847D3">
              <w:rPr>
                <w:rFonts w:ascii="Bookman Old Style" w:eastAsia="Times New Roman" w:hAnsi="Bookman Old Style" w:cs="Arial"/>
                <w:shd w:val="clear" w:color="auto" w:fill="FFFFFF"/>
                <w:lang w:eastAsia="it-IT"/>
              </w:rPr>
              <w:t>, dopo il comma 380-</w:t>
            </w:r>
            <w:r w:rsidRPr="00CF63B8">
              <w:rPr>
                <w:rFonts w:ascii="Bookman Old Style" w:eastAsia="Times New Roman" w:hAnsi="Bookman Old Style" w:cs="Arial"/>
                <w:i/>
                <w:iCs/>
                <w:lang w:eastAsia="it-IT"/>
              </w:rPr>
              <w:t>octies</w:t>
            </w:r>
            <w:r w:rsidRPr="00CF63B8">
              <w:rPr>
                <w:rFonts w:ascii="Bookman Old Style" w:eastAsia="Times New Roman" w:hAnsi="Bookman Old Style" w:cs="Arial"/>
                <w:lang w:eastAsia="it-IT"/>
              </w:rPr>
              <w:t> </w:t>
            </w:r>
            <w:r w:rsidRPr="00E847D3">
              <w:rPr>
                <w:rFonts w:ascii="Bookman Old Style" w:eastAsia="Times New Roman" w:hAnsi="Bookman Old Style" w:cs="Arial"/>
                <w:shd w:val="clear" w:color="auto" w:fill="FFFFFF"/>
                <w:lang w:eastAsia="it-IT"/>
              </w:rPr>
              <w:t>è inserito il seguente:</w:t>
            </w:r>
          </w:p>
          <w:p w:rsidR="00F07B8A" w:rsidRPr="00E847D3" w:rsidRDefault="00F07B8A" w:rsidP="00F07B8A">
            <w:pPr>
              <w:shd w:val="clear" w:color="auto" w:fill="FFFFFF"/>
              <w:jc w:val="both"/>
              <w:rPr>
                <w:rFonts w:ascii="Bookman Old Style" w:eastAsia="Times New Roman" w:hAnsi="Bookman Old Style" w:cs="Times New Roman"/>
                <w:lang w:eastAsia="it-IT"/>
              </w:rPr>
            </w:pPr>
          </w:p>
          <w:p w:rsidR="00F07B8A" w:rsidRPr="000778A2" w:rsidRDefault="00F07B8A" w:rsidP="00F07B8A">
            <w:pPr>
              <w:shd w:val="clear" w:color="auto" w:fill="FFFFFF"/>
              <w:jc w:val="both"/>
              <w:rPr>
                <w:rFonts w:ascii="Bookman Old Style" w:eastAsia="Times New Roman" w:hAnsi="Bookman Old Style" w:cs="Arial"/>
                <w:b/>
                <w:lang w:eastAsia="it-IT"/>
              </w:rPr>
            </w:pPr>
            <w:r w:rsidRPr="00E847D3">
              <w:rPr>
                <w:rFonts w:ascii="Bookman Old Style" w:eastAsia="Times New Roman" w:hAnsi="Bookman Old Style" w:cs="Arial"/>
                <w:lang w:eastAsia="it-IT"/>
              </w:rPr>
              <w:t>«</w:t>
            </w:r>
            <w:r w:rsidRPr="00CF63B8">
              <w:rPr>
                <w:rFonts w:ascii="Bookman Old Style" w:eastAsia="Times New Roman" w:hAnsi="Bookman Old Style" w:cs="Arial"/>
                <w:i/>
                <w:iCs/>
                <w:lang w:eastAsia="it-IT"/>
              </w:rPr>
              <w:t>380</w:t>
            </w:r>
            <w:r w:rsidRPr="00E847D3">
              <w:rPr>
                <w:rFonts w:ascii="Bookman Old Style" w:eastAsia="Times New Roman" w:hAnsi="Bookman Old Style" w:cs="Arial"/>
                <w:lang w:eastAsia="it-IT"/>
              </w:rPr>
              <w:t>-</w:t>
            </w:r>
            <w:r w:rsidRPr="00CF63B8">
              <w:rPr>
                <w:rFonts w:ascii="Bookman Old Style" w:eastAsia="Times New Roman" w:hAnsi="Bookman Old Style" w:cs="Arial"/>
                <w:i/>
                <w:iCs/>
                <w:lang w:eastAsia="it-IT"/>
              </w:rPr>
              <w:t>novies</w:t>
            </w:r>
            <w:r w:rsidRPr="00E847D3">
              <w:rPr>
                <w:rFonts w:ascii="Bookman Old Style" w:eastAsia="Times New Roman" w:hAnsi="Bookman Old Style" w:cs="Arial"/>
                <w:lang w:eastAsia="it-IT"/>
              </w:rPr>
              <w:t>. Le disposizioni di cui ai commi da 380 a 380-</w:t>
            </w:r>
            <w:r w:rsidRPr="00CF63B8">
              <w:rPr>
                <w:rFonts w:ascii="Bookman Old Style" w:eastAsia="Times New Roman" w:hAnsi="Bookman Old Style" w:cs="Arial"/>
                <w:i/>
                <w:iCs/>
                <w:lang w:eastAsia="it-IT"/>
              </w:rPr>
              <w:t>octies</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 xml:space="preserve">che riguardano i criteri di ripartizione del Fondo di solidarietà comunale </w:t>
            </w:r>
            <w:r>
              <w:rPr>
                <w:rFonts w:ascii="Bookman Old Style" w:eastAsia="Times New Roman" w:hAnsi="Bookman Old Style" w:cs="Arial"/>
                <w:b/>
                <w:lang w:eastAsia="it-IT"/>
              </w:rPr>
              <w:t xml:space="preserve">ad eccezione di quelle di </w:t>
            </w:r>
            <w:r w:rsidRPr="000778A2">
              <w:rPr>
                <w:rFonts w:ascii="Bookman Old Style" w:eastAsia="Times New Roman" w:hAnsi="Bookman Old Style" w:cs="Arial"/>
                <w:b/>
                <w:lang w:eastAsia="it-IT"/>
              </w:rPr>
              <w:t>cui al comma 380-ter, lettera a), riguardanti</w:t>
            </w:r>
            <w:r>
              <w:rPr>
                <w:rFonts w:ascii="Bookman Old Style" w:eastAsia="Times New Roman" w:hAnsi="Bookman Old Style" w:cs="Arial"/>
                <w:b/>
                <w:lang w:eastAsia="it-IT"/>
              </w:rPr>
              <w:t xml:space="preserve"> </w:t>
            </w:r>
            <w:r w:rsidRPr="000778A2">
              <w:rPr>
                <w:rFonts w:ascii="Bookman Old Style" w:eastAsia="Times New Roman" w:hAnsi="Bookman Old Style" w:cs="Arial"/>
                <w:b/>
                <w:lang w:eastAsia="it-IT"/>
              </w:rPr>
              <w:t>il contributo di 30 milioni di euro</w:t>
            </w:r>
            <w:r>
              <w:rPr>
                <w:rFonts w:ascii="Bookman Old Style" w:eastAsia="Times New Roman" w:hAnsi="Bookman Old Style" w:cs="Arial"/>
                <w:b/>
                <w:lang w:eastAsia="it-IT"/>
              </w:rPr>
              <w:t xml:space="preserve"> </w:t>
            </w:r>
            <w:r w:rsidRPr="000778A2">
              <w:rPr>
                <w:rFonts w:ascii="Bookman Old Style" w:eastAsia="Times New Roman" w:hAnsi="Bookman Old Style" w:cs="Arial"/>
                <w:b/>
                <w:lang w:eastAsia="it-IT"/>
              </w:rPr>
              <w:t>annui spe</w:t>
            </w:r>
            <w:r>
              <w:rPr>
                <w:rFonts w:ascii="Bookman Old Style" w:eastAsia="Times New Roman" w:hAnsi="Bookman Old Style" w:cs="Arial"/>
                <w:b/>
                <w:lang w:eastAsia="it-IT"/>
              </w:rPr>
              <w:t xml:space="preserve">ttante alle unioni di comuni ai </w:t>
            </w:r>
            <w:r w:rsidRPr="000778A2">
              <w:rPr>
                <w:rFonts w:ascii="Bookman Old Style" w:eastAsia="Times New Roman" w:hAnsi="Bookman Old Style" w:cs="Arial"/>
                <w:b/>
                <w:lang w:eastAsia="it-IT"/>
              </w:rPr>
              <w:t>sensi dell’articolo 53, comma</w:t>
            </w:r>
            <w:r>
              <w:rPr>
                <w:rFonts w:ascii="Bookman Old Style" w:eastAsia="Times New Roman" w:hAnsi="Bookman Old Style" w:cs="Arial"/>
                <w:b/>
                <w:lang w:eastAsia="it-IT"/>
              </w:rPr>
              <w:t xml:space="preserve"> 10, della </w:t>
            </w:r>
            <w:r w:rsidRPr="000778A2">
              <w:rPr>
                <w:rFonts w:ascii="Bookman Old Style" w:eastAsia="Times New Roman" w:hAnsi="Bookman Old Style" w:cs="Arial"/>
                <w:b/>
                <w:lang w:eastAsia="it-IT"/>
              </w:rPr>
              <w:t>legge 23 d</w:t>
            </w:r>
            <w:r>
              <w:rPr>
                <w:rFonts w:ascii="Bookman Old Style" w:eastAsia="Times New Roman" w:hAnsi="Bookman Old Style" w:cs="Arial"/>
                <w:b/>
                <w:lang w:eastAsia="it-IT"/>
              </w:rPr>
              <w:t xml:space="preserve">icembre 2000, n. 388, nonché il </w:t>
            </w:r>
            <w:r w:rsidRPr="000778A2">
              <w:rPr>
                <w:rFonts w:ascii="Bookman Old Style" w:eastAsia="Times New Roman" w:hAnsi="Bookman Old Style" w:cs="Arial"/>
                <w:b/>
                <w:lang w:eastAsia="it-IT"/>
              </w:rPr>
              <w:t>contrib</w:t>
            </w:r>
            <w:r>
              <w:rPr>
                <w:rFonts w:ascii="Bookman Old Style" w:eastAsia="Times New Roman" w:hAnsi="Bookman Old Style" w:cs="Arial"/>
                <w:b/>
                <w:lang w:eastAsia="it-IT"/>
              </w:rPr>
              <w:t xml:space="preserve">uto di 30 milioni di euro annui </w:t>
            </w:r>
            <w:r w:rsidRPr="000778A2">
              <w:rPr>
                <w:rFonts w:ascii="Bookman Old Style" w:eastAsia="Times New Roman" w:hAnsi="Bookman Old Style" w:cs="Arial"/>
                <w:b/>
                <w:lang w:eastAsia="it-IT"/>
              </w:rPr>
              <w:t>destinato, ai sens</w:t>
            </w:r>
            <w:r>
              <w:rPr>
                <w:rFonts w:ascii="Bookman Old Style" w:eastAsia="Times New Roman" w:hAnsi="Bookman Old Style" w:cs="Arial"/>
                <w:b/>
                <w:lang w:eastAsia="it-IT"/>
              </w:rPr>
              <w:t xml:space="preserve">i dell’articolo 20 del decreto- </w:t>
            </w:r>
            <w:r w:rsidRPr="000778A2">
              <w:rPr>
                <w:rFonts w:ascii="Bookman Old Style" w:eastAsia="Times New Roman" w:hAnsi="Bookman Old Style" w:cs="Arial"/>
                <w:b/>
                <w:lang w:eastAsia="it-IT"/>
              </w:rPr>
              <w:t xml:space="preserve">legge 6 </w:t>
            </w:r>
            <w:r>
              <w:rPr>
                <w:rFonts w:ascii="Bookman Old Style" w:eastAsia="Times New Roman" w:hAnsi="Bookman Old Style" w:cs="Arial"/>
                <w:b/>
                <w:lang w:eastAsia="it-IT"/>
              </w:rPr>
              <w:t xml:space="preserve">luglio 2012, n. 95, convertito, </w:t>
            </w:r>
            <w:r w:rsidRPr="000778A2">
              <w:rPr>
                <w:rFonts w:ascii="Bookman Old Style" w:eastAsia="Times New Roman" w:hAnsi="Bookman Old Style" w:cs="Arial"/>
                <w:b/>
                <w:lang w:eastAsia="it-IT"/>
              </w:rPr>
              <w:t>con modi</w:t>
            </w:r>
            <w:r>
              <w:rPr>
                <w:rFonts w:ascii="Bookman Old Style" w:eastAsia="Times New Roman" w:hAnsi="Bookman Old Style" w:cs="Arial"/>
                <w:b/>
                <w:lang w:eastAsia="it-IT"/>
              </w:rPr>
              <w:t xml:space="preserve">ficazioni, dalla legge 7 agosto </w:t>
            </w:r>
            <w:r w:rsidRPr="000778A2">
              <w:rPr>
                <w:rFonts w:ascii="Bookman Old Style" w:eastAsia="Times New Roman" w:hAnsi="Bookman Old Style" w:cs="Arial"/>
                <w:b/>
                <w:lang w:eastAsia="it-IT"/>
              </w:rPr>
              <w:t xml:space="preserve">2012, n. 135, ai comuni istituiti </w:t>
            </w:r>
            <w:r>
              <w:rPr>
                <w:rFonts w:ascii="Bookman Old Style" w:eastAsia="Times New Roman" w:hAnsi="Bookman Old Style" w:cs="Arial"/>
                <w:b/>
                <w:lang w:eastAsia="it-IT"/>
              </w:rPr>
              <w:t xml:space="preserve">a seguito di </w:t>
            </w:r>
            <w:r w:rsidRPr="000778A2">
              <w:rPr>
                <w:rFonts w:ascii="Bookman Old Style" w:eastAsia="Times New Roman" w:hAnsi="Bookman Old Style" w:cs="Arial"/>
                <w:b/>
                <w:lang w:eastAsia="it-IT"/>
              </w:rPr>
              <w:t>fusione,</w:t>
            </w:r>
            <w:r>
              <w:rPr>
                <w:rFonts w:ascii="Bookman Old Style" w:eastAsia="Times New Roman" w:hAnsi="Bookman Old Style" w:cs="Arial"/>
                <w:b/>
                <w:lang w:eastAsia="it-IT"/>
              </w:rPr>
              <w:t xml:space="preserve"> </w:t>
            </w:r>
            <w:r w:rsidRPr="00E847D3">
              <w:rPr>
                <w:rFonts w:ascii="Bookman Old Style" w:eastAsia="Times New Roman" w:hAnsi="Bookman Old Style" w:cs="Arial"/>
                <w:lang w:eastAsia="it-IT"/>
              </w:rPr>
              <w:t>trovano applicazione sino alla determinazione del Fondo stesso relativo all'anno 2016».</w:t>
            </w:r>
          </w:p>
        </w:tc>
        <w:tc>
          <w:tcPr>
            <w:tcW w:w="7139" w:type="dxa"/>
            <w:gridSpan w:val="3"/>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lastRenderedPageBreak/>
              <w:t xml:space="preserve">Le disposizioni di cui ai commi successivi prevedono una revisione generale dei criteri di alimentazione e riparto del Fondo </w:t>
            </w:r>
            <w:r w:rsidRPr="000778A2">
              <w:rPr>
                <w:rFonts w:ascii="Bookman Old Style" w:hAnsi="Bookman Old Style"/>
                <w:i/>
                <w:color w:val="000000"/>
              </w:rPr>
              <w:lastRenderedPageBreak/>
              <w:t>di Solidarietà Comunale e di attuazione della perequazione delle risorse</w:t>
            </w:r>
            <w:r>
              <w:rPr>
                <w:rFonts w:ascii="Bookman Old Style" w:hAnsi="Bookman Old Style"/>
                <w:i/>
                <w:color w:val="000000"/>
              </w:rPr>
              <w:t xml:space="preserve"> </w:t>
            </w:r>
            <w:r w:rsidRPr="000778A2">
              <w:rPr>
                <w:rFonts w:ascii="Bookman Old Style" w:hAnsi="Bookman Old Style"/>
                <w:i/>
                <w:color w:val="000000"/>
              </w:rPr>
              <w:t>avviata dal 2015.</w:t>
            </w:r>
          </w:p>
          <w:p w:rsidR="00F07B8A" w:rsidRPr="000778A2" w:rsidRDefault="00086B81" w:rsidP="00086B81">
            <w:pPr>
              <w:jc w:val="both"/>
              <w:rPr>
                <w:rFonts w:ascii="Bookman Old Style" w:hAnsi="Bookman Old Style"/>
                <w:i/>
                <w:color w:val="000000"/>
              </w:rPr>
            </w:pPr>
            <w:r>
              <w:rPr>
                <w:rFonts w:ascii="Bookman Old Style" w:hAnsi="Bookman Old Style"/>
                <w:i/>
                <w:color w:val="000000"/>
              </w:rPr>
              <w:t xml:space="preserve">Il </w:t>
            </w:r>
            <w:r w:rsidR="00F07B8A" w:rsidRPr="000778A2">
              <w:rPr>
                <w:rFonts w:ascii="Bookman Old Style" w:hAnsi="Bookman Old Style"/>
                <w:b/>
                <w:i/>
                <w:color w:val="000000"/>
              </w:rPr>
              <w:t>comma 446</w:t>
            </w:r>
            <w:r w:rsidR="00F07B8A" w:rsidRPr="000778A2">
              <w:rPr>
                <w:rFonts w:ascii="Bookman Old Style" w:hAnsi="Bookman Old Style"/>
                <w:i/>
                <w:color w:val="000000"/>
              </w:rPr>
              <w:t xml:space="preserve"> </w:t>
            </w:r>
            <w:r>
              <w:rPr>
                <w:rFonts w:ascii="Bookman Old Style" w:hAnsi="Bookman Old Style"/>
                <w:i/>
                <w:color w:val="000000"/>
              </w:rPr>
              <w:t xml:space="preserve">stabilisce che </w:t>
            </w:r>
            <w:r w:rsidR="00F07B8A" w:rsidRPr="000778A2">
              <w:rPr>
                <w:rFonts w:ascii="Bookman Old Style" w:hAnsi="Bookman Old Style"/>
                <w:i/>
                <w:color w:val="000000"/>
              </w:rPr>
              <w:t xml:space="preserve">la disciplina vigente del Fondo di Solidarietà Comunale – recata dai commi </w:t>
            </w:r>
            <w:r w:rsidR="00F07B8A" w:rsidRPr="00B77645">
              <w:rPr>
                <w:rFonts w:ascii="Bookman Old Style" w:hAnsi="Bookman Old Style"/>
                <w:i/>
                <w:color w:val="000000"/>
              </w:rPr>
              <w:t xml:space="preserve">da 380 a 380-octies dell’articolo 1 della legge di stabilità 2013 </w:t>
            </w:r>
            <w:r>
              <w:rPr>
                <w:rFonts w:ascii="Bookman Old Style" w:hAnsi="Bookman Old Style"/>
                <w:i/>
                <w:color w:val="000000"/>
              </w:rPr>
              <w:t xml:space="preserve">– </w:t>
            </w:r>
            <w:r w:rsidR="00F07B8A" w:rsidRPr="00B77645">
              <w:rPr>
                <w:rFonts w:ascii="Bookman Old Style" w:hAnsi="Bookman Old Style"/>
                <w:i/>
                <w:color w:val="000000"/>
              </w:rPr>
              <w:t>si a</w:t>
            </w:r>
            <w:r w:rsidR="00F07B8A" w:rsidRPr="00C25018">
              <w:rPr>
                <w:rFonts w:ascii="Bookman Old Style" w:hAnsi="Bookman Old Style"/>
                <w:i/>
                <w:color w:val="000000"/>
              </w:rPr>
              <w:t xml:space="preserve">pplica sino all’anno 2016. Da tale previsione sono escluse le disposizioni riguardanti le risorse </w:t>
            </w:r>
            <w:r w:rsidR="00F07B8A" w:rsidRPr="00C25018">
              <w:rPr>
                <w:rFonts w:ascii="Bookman Old Style" w:hAnsi="Bookman Old Style"/>
                <w:i/>
              </w:rPr>
              <w:t xml:space="preserve">destinate alle </w:t>
            </w:r>
            <w:r w:rsidR="00F07B8A" w:rsidRPr="00C25018">
              <w:rPr>
                <w:rFonts w:ascii="Bookman Old Style" w:hAnsi="Bookman Old Style"/>
                <w:b/>
                <w:bCs/>
                <w:i/>
              </w:rPr>
              <w:t>unioni e fusioni di comuni</w:t>
            </w:r>
            <w:r w:rsidR="00F07B8A" w:rsidRPr="00C25018">
              <w:rPr>
                <w:rFonts w:ascii="Bookman Old Style" w:hAnsi="Bookman Old Style"/>
                <w:i/>
              </w:rPr>
              <w:t xml:space="preserve">, che pertanto continueranno ad </w:t>
            </w:r>
            <w:r w:rsidR="00F07B8A" w:rsidRPr="00C25018">
              <w:rPr>
                <w:rFonts w:ascii="Bookman Old Style" w:hAnsi="Bookman Old Style"/>
                <w:b/>
                <w:bCs/>
                <w:i/>
              </w:rPr>
              <w:t>essere erogate secondo gli importi e le regole ora vigenti</w:t>
            </w:r>
            <w:r w:rsidR="00F07B8A" w:rsidRPr="00C25018">
              <w:rPr>
                <w:rFonts w:ascii="Bookman Old Style" w:hAnsi="Bookman Old Style"/>
                <w:i/>
              </w:rPr>
              <w:t>. Si tratta in particolare del contributo di 30 milioni annui spettante alle unioni di comuni ai sensi del comma 10 dell’articolo 53 della legge n.388/2000, che ne indica anche i criteri di ripartizione tra gli enti interessati, nonché del contributo di 30 milioni di cui all’articolo 20 del decreto-legge n.95/2012, spettante ai comuni istituiti a seguito di fusione.</w:t>
            </w:r>
            <w:r w:rsidR="00F07B8A" w:rsidRPr="00B77645">
              <w:rPr>
                <w:rFonts w:ascii="Bookman Old Style" w:hAnsi="Bookman Old Style"/>
                <w:i/>
              </w:rPr>
              <w:t xml:space="preserve"> </w:t>
            </w:r>
          </w:p>
        </w:tc>
      </w:tr>
      <w:tr w:rsidR="00F07B8A" w:rsidTr="00086B81">
        <w:trPr>
          <w:gridAfter w:val="1"/>
          <w:wAfter w:w="150" w:type="dxa"/>
        </w:trPr>
        <w:tc>
          <w:tcPr>
            <w:tcW w:w="7138" w:type="dxa"/>
          </w:tcPr>
          <w:p w:rsidR="00F07B8A" w:rsidRPr="000778A2" w:rsidRDefault="00F07B8A" w:rsidP="00F07B8A">
            <w:pPr>
              <w:shd w:val="clear" w:color="auto" w:fill="FFFFFF"/>
              <w:jc w:val="both"/>
              <w:rPr>
                <w:rFonts w:ascii="Bookman Old Style" w:eastAsia="Times New Roman" w:hAnsi="Bookman Old Style" w:cs="Arial"/>
                <w:b/>
                <w:shd w:val="clear" w:color="auto" w:fill="FFFFFF"/>
                <w:lang w:eastAsia="it-IT"/>
              </w:rPr>
            </w:pPr>
            <w:r w:rsidRPr="000778A2">
              <w:rPr>
                <w:rFonts w:ascii="Bookman Old Style" w:eastAsia="Times New Roman" w:hAnsi="Bookman Old Style" w:cs="Arial"/>
                <w:b/>
                <w:shd w:val="clear" w:color="auto" w:fill="FFFFFF"/>
                <w:lang w:eastAsia="it-IT"/>
              </w:rPr>
              <w:lastRenderedPageBreak/>
              <w:t>447. All’articolo 20, comma 1-bis, primo</w:t>
            </w:r>
            <w:r>
              <w:rPr>
                <w:rFonts w:ascii="Bookman Old Style" w:eastAsia="Times New Roman" w:hAnsi="Bookman Old Style" w:cs="Arial"/>
                <w:b/>
                <w:shd w:val="clear" w:color="auto" w:fill="FFFFFF"/>
                <w:lang w:eastAsia="it-IT"/>
              </w:rPr>
              <w:t xml:space="preserve"> </w:t>
            </w:r>
            <w:r w:rsidRPr="000778A2">
              <w:rPr>
                <w:rFonts w:ascii="Bookman Old Style" w:eastAsia="Times New Roman" w:hAnsi="Bookman Old Style" w:cs="Arial"/>
                <w:b/>
                <w:shd w:val="clear" w:color="auto" w:fill="FFFFFF"/>
                <w:lang w:eastAsia="it-IT"/>
              </w:rPr>
              <w:t>periodo, del decreto-legge 6 luglio 2012,</w:t>
            </w:r>
            <w:r w:rsidR="00086B81">
              <w:rPr>
                <w:rFonts w:ascii="Bookman Old Style" w:eastAsia="Times New Roman" w:hAnsi="Bookman Old Style" w:cs="Arial"/>
                <w:b/>
                <w:shd w:val="clear" w:color="auto" w:fill="FFFFFF"/>
                <w:lang w:eastAsia="it-IT"/>
              </w:rPr>
              <w:t xml:space="preserve"> </w:t>
            </w:r>
            <w:r w:rsidRPr="000778A2">
              <w:rPr>
                <w:rFonts w:ascii="Bookman Old Style" w:eastAsia="Times New Roman" w:hAnsi="Bookman Old Style" w:cs="Arial"/>
                <w:b/>
                <w:shd w:val="clear" w:color="auto" w:fill="FFFFFF"/>
                <w:lang w:eastAsia="it-IT"/>
              </w:rPr>
              <w:t>n. 95, convertito, con modificazioni, dalla</w:t>
            </w:r>
            <w:r>
              <w:rPr>
                <w:rFonts w:ascii="Bookman Old Style" w:eastAsia="Times New Roman" w:hAnsi="Bookman Old Style" w:cs="Arial"/>
                <w:b/>
                <w:shd w:val="clear" w:color="auto" w:fill="FFFFFF"/>
                <w:lang w:eastAsia="it-IT"/>
              </w:rPr>
              <w:t xml:space="preserve"> </w:t>
            </w:r>
            <w:r w:rsidRPr="000778A2">
              <w:rPr>
                <w:rFonts w:ascii="Bookman Old Style" w:eastAsia="Times New Roman" w:hAnsi="Bookman Old Style" w:cs="Arial"/>
                <w:b/>
                <w:shd w:val="clear" w:color="auto" w:fill="FFFFFF"/>
                <w:lang w:eastAsia="it-IT"/>
              </w:rPr>
              <w:t>legge 7 agosto 2012, n. 135, dopo le parole:« commisurato al 40 per cento dei trasferimenti</w:t>
            </w:r>
            <w:r>
              <w:rPr>
                <w:rFonts w:ascii="Bookman Old Style" w:eastAsia="Times New Roman" w:hAnsi="Bookman Old Style" w:cs="Arial"/>
                <w:b/>
                <w:shd w:val="clear" w:color="auto" w:fill="FFFFFF"/>
                <w:lang w:eastAsia="it-IT"/>
              </w:rPr>
              <w:t xml:space="preserve"> </w:t>
            </w:r>
            <w:r w:rsidRPr="000778A2">
              <w:rPr>
                <w:rFonts w:ascii="Bookman Old Style" w:eastAsia="Times New Roman" w:hAnsi="Bookman Old Style" w:cs="Arial"/>
                <w:b/>
                <w:shd w:val="clear" w:color="auto" w:fill="FFFFFF"/>
                <w:lang w:eastAsia="it-IT"/>
              </w:rPr>
              <w:t>erariali attribuiti per l’anno 2010, »sono inserite le seguenti: « elevato al 50 percento a decorrere dall’anno 2017, ».</w:t>
            </w:r>
          </w:p>
        </w:tc>
        <w:tc>
          <w:tcPr>
            <w:tcW w:w="7139" w:type="dxa"/>
            <w:gridSpan w:val="3"/>
          </w:tcPr>
          <w:p w:rsidR="00F07B8A" w:rsidRPr="00334ADE" w:rsidRDefault="00F07B8A" w:rsidP="00086B81">
            <w:pPr>
              <w:pStyle w:val="Default"/>
              <w:jc w:val="both"/>
              <w:rPr>
                <w:rFonts w:ascii="Bookman Old Style" w:hAnsi="Bookman Old Style"/>
                <w:b/>
                <w:bCs/>
                <w:i/>
                <w:sz w:val="22"/>
                <w:szCs w:val="22"/>
                <w:highlight w:val="yellow"/>
              </w:rPr>
            </w:pPr>
            <w:r w:rsidRPr="001A11A5">
              <w:rPr>
                <w:rFonts w:ascii="Bookman Old Style" w:hAnsi="Bookman Old Style"/>
                <w:i/>
                <w:sz w:val="22"/>
                <w:szCs w:val="22"/>
              </w:rPr>
              <w:t xml:space="preserve">Il </w:t>
            </w:r>
            <w:r w:rsidRPr="00E64C89">
              <w:rPr>
                <w:rFonts w:ascii="Bookman Old Style" w:hAnsi="Bookman Old Style"/>
                <w:b/>
                <w:i/>
                <w:sz w:val="22"/>
                <w:szCs w:val="22"/>
              </w:rPr>
              <w:t>comma 447</w:t>
            </w:r>
            <w:r w:rsidRPr="001A11A5">
              <w:rPr>
                <w:rFonts w:ascii="Bookman Old Style" w:hAnsi="Bookman Old Style"/>
                <w:i/>
                <w:sz w:val="22"/>
                <w:szCs w:val="22"/>
              </w:rPr>
              <w:t xml:space="preserve"> modificando l’articolo 20, comma 1-bis del decreto-legge n.95/2012, </w:t>
            </w:r>
            <w:r w:rsidRPr="001A11A5">
              <w:rPr>
                <w:rFonts w:ascii="Bookman Old Style" w:hAnsi="Bookman Old Style"/>
                <w:b/>
                <w:bCs/>
                <w:i/>
                <w:sz w:val="22"/>
                <w:szCs w:val="22"/>
              </w:rPr>
              <w:t>eleva</w:t>
            </w:r>
            <w:r w:rsidR="00086B81">
              <w:rPr>
                <w:rFonts w:ascii="Bookman Old Style" w:hAnsi="Bookman Old Style"/>
                <w:b/>
                <w:bCs/>
                <w:i/>
                <w:sz w:val="22"/>
                <w:szCs w:val="22"/>
              </w:rPr>
              <w:t xml:space="preserve"> </w:t>
            </w:r>
            <w:r w:rsidRPr="001A11A5">
              <w:rPr>
                <w:rFonts w:ascii="Bookman Old Style" w:hAnsi="Bookman Old Style"/>
                <w:b/>
                <w:bCs/>
                <w:i/>
                <w:sz w:val="22"/>
                <w:szCs w:val="22"/>
              </w:rPr>
              <w:t>dal 40 al 50 per cento</w:t>
            </w:r>
            <w:r w:rsidRPr="001A11A5">
              <w:rPr>
                <w:rFonts w:ascii="Bookman Old Style" w:hAnsi="Bookman Old Style"/>
                <w:i/>
                <w:sz w:val="22"/>
                <w:szCs w:val="22"/>
              </w:rPr>
              <w:t xml:space="preserve"> </w:t>
            </w:r>
            <w:r w:rsidR="00086B81">
              <w:rPr>
                <w:rFonts w:ascii="Bookman Old Style" w:hAnsi="Bookman Old Style"/>
                <w:i/>
                <w:sz w:val="22"/>
                <w:szCs w:val="22"/>
              </w:rPr>
              <w:t xml:space="preserve">il parametro per il calcolo del contri buto ai Comuni che hanno dato luogo a fusioni. A </w:t>
            </w:r>
            <w:r w:rsidR="00086B81" w:rsidRPr="001A11A5">
              <w:rPr>
                <w:rFonts w:ascii="Bookman Old Style" w:hAnsi="Bookman Old Style"/>
                <w:i/>
                <w:sz w:val="22"/>
                <w:szCs w:val="22"/>
              </w:rPr>
              <w:t xml:space="preserve">decorrere dal 2017, </w:t>
            </w:r>
            <w:r w:rsidR="00086B81">
              <w:rPr>
                <w:rFonts w:ascii="Bookman Old Style" w:hAnsi="Bookman Old Style"/>
                <w:i/>
                <w:sz w:val="22"/>
                <w:szCs w:val="22"/>
              </w:rPr>
              <w:t xml:space="preserve">pertanto, ai Comuni risultanti da fusione spetta un contributo pari al 50% dei </w:t>
            </w:r>
            <w:r w:rsidRPr="001A11A5">
              <w:rPr>
                <w:rFonts w:ascii="Bookman Old Style" w:hAnsi="Bookman Old Style"/>
                <w:i/>
                <w:sz w:val="22"/>
                <w:szCs w:val="22"/>
              </w:rPr>
              <w:t xml:space="preserve">trasferimenti erariali attribuiti per l’anno 2010. Si ricorda </w:t>
            </w:r>
            <w:r w:rsidR="00086B81">
              <w:rPr>
                <w:rFonts w:ascii="Bookman Old Style" w:hAnsi="Bookman Old Style"/>
                <w:i/>
                <w:sz w:val="22"/>
                <w:szCs w:val="22"/>
              </w:rPr>
              <w:t>la stessa norma oggetto di integrazione (</w:t>
            </w:r>
            <w:r w:rsidRPr="001A11A5">
              <w:rPr>
                <w:rFonts w:ascii="Bookman Old Style" w:hAnsi="Bookman Old Style"/>
                <w:i/>
                <w:sz w:val="22"/>
                <w:szCs w:val="22"/>
              </w:rPr>
              <w:t>art</w:t>
            </w:r>
            <w:r w:rsidR="00086B81">
              <w:rPr>
                <w:rFonts w:ascii="Bookman Old Style" w:hAnsi="Bookman Old Style"/>
                <w:i/>
                <w:sz w:val="22"/>
                <w:szCs w:val="22"/>
              </w:rPr>
              <w:t>.</w:t>
            </w:r>
            <w:r w:rsidRPr="001A11A5">
              <w:rPr>
                <w:rFonts w:ascii="Bookman Old Style" w:hAnsi="Bookman Old Style"/>
                <w:i/>
                <w:sz w:val="22"/>
                <w:szCs w:val="22"/>
              </w:rPr>
              <w:t>20</w:t>
            </w:r>
            <w:r w:rsidR="00086B81">
              <w:rPr>
                <w:rFonts w:ascii="Bookman Old Style" w:hAnsi="Bookman Old Style"/>
                <w:i/>
                <w:sz w:val="22"/>
                <w:szCs w:val="22"/>
              </w:rPr>
              <w:t>,</w:t>
            </w:r>
            <w:r w:rsidRPr="001A11A5">
              <w:rPr>
                <w:rFonts w:ascii="Bookman Old Style" w:hAnsi="Bookman Old Style"/>
                <w:i/>
                <w:sz w:val="22"/>
                <w:szCs w:val="22"/>
              </w:rPr>
              <w:t xml:space="preserve"> co</w:t>
            </w:r>
            <w:r w:rsidR="00086B81">
              <w:rPr>
                <w:rFonts w:ascii="Bookman Old Style" w:hAnsi="Bookman Old Style"/>
                <w:i/>
                <w:sz w:val="22"/>
                <w:szCs w:val="22"/>
              </w:rPr>
              <w:t>.</w:t>
            </w:r>
            <w:r w:rsidRPr="001A11A5">
              <w:rPr>
                <w:rFonts w:ascii="Bookman Old Style" w:hAnsi="Bookman Old Style"/>
                <w:i/>
                <w:sz w:val="22"/>
                <w:szCs w:val="22"/>
              </w:rPr>
              <w:t>1-bis</w:t>
            </w:r>
            <w:r w:rsidR="00086B81">
              <w:rPr>
                <w:rFonts w:ascii="Bookman Old Style" w:hAnsi="Bookman Old Style"/>
                <w:i/>
                <w:sz w:val="22"/>
                <w:szCs w:val="22"/>
              </w:rPr>
              <w:t>)</w:t>
            </w:r>
            <w:r w:rsidRPr="001A11A5">
              <w:rPr>
                <w:rFonts w:ascii="Bookman Old Style" w:hAnsi="Bookman Old Style"/>
                <w:i/>
                <w:sz w:val="22"/>
                <w:szCs w:val="22"/>
              </w:rPr>
              <w:t xml:space="preserve"> dispone che il contributo è attribuito nel limite degli stanziamenti finanziari previsti e comunque in misura non superiore a 2 milioni di euro per ciascun beneficiario. </w:t>
            </w:r>
          </w:p>
        </w:tc>
      </w:tr>
      <w:tr w:rsidR="00F07B8A" w:rsidTr="00086B81">
        <w:trPr>
          <w:gridAfter w:val="1"/>
          <w:wAfter w:w="150" w:type="dxa"/>
        </w:trPr>
        <w:tc>
          <w:tcPr>
            <w:tcW w:w="7138" w:type="dxa"/>
          </w:tcPr>
          <w:p w:rsidR="00F07B8A" w:rsidRPr="00FA3F09" w:rsidRDefault="00F07B8A" w:rsidP="00F07B8A">
            <w:pPr>
              <w:jc w:val="both"/>
              <w:rPr>
                <w:rFonts w:ascii="Bookman Old Style" w:hAnsi="Bookman Old Style"/>
                <w:b/>
                <w:bCs/>
                <w:color w:val="000000"/>
              </w:rPr>
            </w:pPr>
            <w:r w:rsidRPr="00E847D3">
              <w:rPr>
                <w:rFonts w:ascii="Bookman Old Style" w:eastAsia="Times New Roman" w:hAnsi="Bookman Old Style" w:cs="Arial"/>
                <w:lang w:eastAsia="it-IT"/>
              </w:rPr>
              <w:t>4</w:t>
            </w:r>
            <w:r>
              <w:rPr>
                <w:rFonts w:ascii="Bookman Old Style" w:eastAsia="Times New Roman" w:hAnsi="Bookman Old Style" w:cs="Arial"/>
                <w:lang w:eastAsia="it-IT"/>
              </w:rPr>
              <w:t>48</w:t>
            </w:r>
            <w:r w:rsidRPr="00E847D3">
              <w:rPr>
                <w:rFonts w:ascii="Bookman Old Style" w:eastAsia="Times New Roman" w:hAnsi="Bookman Old Style" w:cs="Arial"/>
                <w:lang w:eastAsia="it-IT"/>
              </w:rPr>
              <w:t>. A decorrere dall'anno 2017, la dotazione del Fondo di solidarietà comunale di cui al comma 380</w:t>
            </w:r>
            <w:r w:rsidRPr="00CF63B8">
              <w:rPr>
                <w:rFonts w:ascii="Bookman Old Style" w:eastAsia="Times New Roman" w:hAnsi="Bookman Old Style" w:cs="Arial"/>
                <w:i/>
                <w:iCs/>
                <w:lang w:eastAsia="it-IT"/>
              </w:rPr>
              <w:t>-ter</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dell'</w:t>
            </w:r>
            <w:hyperlink r:id="rId44" w:anchor="art1" w:tgtFrame="rifNormativi" w:history="1">
              <w:r w:rsidRPr="00CF63B8">
                <w:rPr>
                  <w:rFonts w:ascii="Bookman Old Style" w:eastAsia="Times New Roman" w:hAnsi="Bookman Old Style" w:cs="Arial"/>
                  <w:lang w:eastAsia="it-IT"/>
                </w:rPr>
                <w:t>articolo 1 della legge 24 dicembre 2012, n. 228</w:t>
              </w:r>
            </w:hyperlink>
            <w:r w:rsidRPr="00E847D3">
              <w:rPr>
                <w:rFonts w:ascii="Bookman Old Style" w:eastAsia="Times New Roman" w:hAnsi="Bookman Old Style" w:cs="Arial"/>
                <w:lang w:eastAsia="it-IT"/>
              </w:rPr>
              <w:t>, al netto dell'eventuale quota dell'imposta municipale propria (IMU) di spettanza dei comuni connessa alla regolazione dei rapporti finanziari è stabilita in euro</w:t>
            </w:r>
            <w:r w:rsidR="0012490B">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6.197.184.364,87, di cui 2.768.800.000 assicurata attraverso una quota dell'IMU, di spettanza dei comuni, di cui all'</w:t>
            </w:r>
            <w:hyperlink r:id="rId45" w:anchor="art13" w:tgtFrame="rifNormativi" w:history="1">
              <w:r w:rsidRPr="00CF63B8">
                <w:rPr>
                  <w:rFonts w:ascii="Bookman Old Style" w:eastAsia="Times New Roman" w:hAnsi="Bookman Old Style" w:cs="Arial"/>
                  <w:lang w:eastAsia="it-IT"/>
                </w:rPr>
                <w:t>articolo 13 del decreto-legge 6 dicembre 2011, n. 201</w:t>
              </w:r>
            </w:hyperlink>
            <w:r w:rsidRPr="00E847D3">
              <w:rPr>
                <w:rFonts w:ascii="Bookman Old Style" w:eastAsia="Times New Roman" w:hAnsi="Bookman Old Style" w:cs="Arial"/>
                <w:shd w:val="clear" w:color="auto" w:fill="FFFFFF"/>
                <w:lang w:eastAsia="it-IT"/>
              </w:rPr>
              <w:t>, convertito, con modificazioni, dalla</w:t>
            </w:r>
            <w:r w:rsidRPr="00CF63B8">
              <w:rPr>
                <w:rFonts w:ascii="Bookman Old Style" w:eastAsia="Times New Roman" w:hAnsi="Bookman Old Style" w:cs="Arial"/>
                <w:lang w:eastAsia="it-IT"/>
              </w:rPr>
              <w:t> </w:t>
            </w:r>
            <w:hyperlink r:id="rId46" w:tgtFrame="rifNormativi" w:history="1">
              <w:r w:rsidRPr="00CF63B8">
                <w:rPr>
                  <w:rFonts w:ascii="Bookman Old Style" w:eastAsia="Times New Roman" w:hAnsi="Bookman Old Style" w:cs="Arial"/>
                  <w:lang w:eastAsia="it-IT"/>
                </w:rPr>
                <w:t>legge 22 dicembre 2011, n. 214</w:t>
              </w:r>
            </w:hyperlink>
            <w:r w:rsidRPr="00E847D3">
              <w:rPr>
                <w:rFonts w:ascii="Bookman Old Style" w:eastAsia="Times New Roman" w:hAnsi="Bookman Old Style" w:cs="Arial"/>
                <w:shd w:val="clear" w:color="auto" w:fill="FFFFFF"/>
                <w:lang w:eastAsia="it-IT"/>
              </w:rPr>
              <w:t xml:space="preserve">, eventualmente variata della quota derivante dalla regolazione dei rapporti finanziari connessi con la metodologia </w:t>
            </w:r>
            <w:r w:rsidRPr="00E847D3">
              <w:rPr>
                <w:rFonts w:ascii="Bookman Old Style" w:eastAsia="Times New Roman" w:hAnsi="Bookman Old Style" w:cs="Arial"/>
                <w:shd w:val="clear" w:color="auto" w:fill="FFFFFF"/>
                <w:lang w:eastAsia="it-IT"/>
              </w:rPr>
              <w:lastRenderedPageBreak/>
              <w:t>di riparto tra i comuni interessati del Fondo stesso.</w:t>
            </w:r>
            <w:r w:rsidRPr="00CF63B8">
              <w:rPr>
                <w:rFonts w:ascii="Bookman Old Style" w:eastAsia="Times New Roman" w:hAnsi="Bookman Old Style" w:cs="Arial"/>
                <w:lang w:eastAsia="it-IT"/>
              </w:rPr>
              <w:t> </w:t>
            </w:r>
          </w:p>
        </w:tc>
        <w:tc>
          <w:tcPr>
            <w:tcW w:w="7139" w:type="dxa"/>
            <w:gridSpan w:val="3"/>
          </w:tcPr>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lastRenderedPageBreak/>
              <w:t xml:space="preserve">Il </w:t>
            </w:r>
            <w:r w:rsidRPr="000778A2">
              <w:rPr>
                <w:rFonts w:ascii="Bookman Old Style" w:hAnsi="Bookman Old Style"/>
                <w:b/>
                <w:i/>
                <w:color w:val="000000"/>
              </w:rPr>
              <w:t>comma 448</w:t>
            </w:r>
            <w:r w:rsidRPr="000778A2">
              <w:rPr>
                <w:rFonts w:ascii="Bookman Old Style" w:hAnsi="Bookman Old Style"/>
                <w:i/>
                <w:color w:val="000000"/>
              </w:rPr>
              <w:t xml:space="preserve"> definisce la dotazione complessiva del Fondo di Solidarietà Comunale a decorrere dal 2017 che è stabilita in 6.197,2 milioni.</w:t>
            </w:r>
          </w:p>
          <w:p w:rsidR="00F07B8A" w:rsidRPr="000778A2" w:rsidRDefault="00F07B8A" w:rsidP="008A026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Analogamente al 2016, la quota comunale di alimentazione del Fondo è determinata in </w:t>
            </w:r>
            <w:r w:rsidRPr="000778A2">
              <w:rPr>
                <w:rFonts w:ascii="Bookman Old Style" w:hAnsi="Bookman Old Style"/>
                <w:i/>
                <w:color w:val="000000"/>
              </w:rPr>
              <w:t xml:space="preserve">2.768,8 milioni di euro </w:t>
            </w:r>
            <w:r w:rsidR="008A026A">
              <w:rPr>
                <w:rFonts w:ascii="Bookman Old Style" w:hAnsi="Bookman Old Style"/>
                <w:i/>
                <w:color w:val="000000"/>
              </w:rPr>
              <w:t xml:space="preserve">ed </w:t>
            </w:r>
            <w:r w:rsidRPr="000778A2">
              <w:rPr>
                <w:rFonts w:ascii="Bookman Old Style" w:hAnsi="Bookman Old Style"/>
                <w:i/>
                <w:color w:val="000000"/>
              </w:rPr>
              <w:t xml:space="preserve">assicurata attraverso il versamento del 22,43% dell’IMU standard di spettanza di ciascun Comune. Tale importo, risulta, comunque suscettibile di variazioni derivanti </w:t>
            </w:r>
            <w:r w:rsidRPr="000778A2">
              <w:rPr>
                <w:rFonts w:ascii="Bookman Old Style" w:eastAsia="Times New Roman" w:hAnsi="Bookman Old Style" w:cs="Arial"/>
                <w:i/>
                <w:shd w:val="clear" w:color="auto" w:fill="FFFFFF"/>
                <w:lang w:eastAsia="it-IT"/>
              </w:rPr>
              <w:t>dalla regolazione dei rapporti finanziari connessi con la metodologia di riparto tra i comuni interessati del Fondo stesso</w:t>
            </w:r>
            <w:r w:rsidR="008A026A">
              <w:rPr>
                <w:rFonts w:ascii="Bookman Old Style" w:eastAsia="Times New Roman" w:hAnsi="Bookman Old Style" w:cs="Arial"/>
                <w:i/>
                <w:shd w:val="clear" w:color="auto" w:fill="FFFFFF"/>
                <w:lang w:eastAsia="it-IT"/>
              </w:rPr>
              <w:t>;</w:t>
            </w:r>
            <w:r w:rsidRPr="000778A2">
              <w:rPr>
                <w:rFonts w:ascii="Bookman Old Style" w:eastAsia="Times New Roman" w:hAnsi="Bookman Old Style" w:cs="Arial"/>
                <w:i/>
                <w:shd w:val="clear" w:color="auto" w:fill="FFFFFF"/>
                <w:lang w:eastAsia="it-IT"/>
              </w:rPr>
              <w:t xml:space="preserve"> in altre parole l’importo previsto potrà variare per effetto del versamento al Fondo da parte dei </w:t>
            </w:r>
            <w:r w:rsidRPr="000778A2">
              <w:rPr>
                <w:rFonts w:ascii="Bookman Old Style" w:eastAsia="Times New Roman" w:hAnsi="Bookman Old Style" w:cs="Arial"/>
                <w:i/>
                <w:shd w:val="clear" w:color="auto" w:fill="FFFFFF"/>
                <w:lang w:eastAsia="it-IT"/>
              </w:rPr>
              <w:lastRenderedPageBreak/>
              <w:t>Comuni con FSC negativo (cd.</w:t>
            </w:r>
            <w:r>
              <w:rPr>
                <w:rFonts w:ascii="Bookman Old Style" w:eastAsia="Times New Roman" w:hAnsi="Bookman Old Style" w:cs="Arial"/>
                <w:i/>
                <w:shd w:val="clear" w:color="auto" w:fill="FFFFFF"/>
                <w:lang w:eastAsia="it-IT"/>
              </w:rPr>
              <w:t xml:space="preserve"> </w:t>
            </w:r>
            <w:r w:rsidRPr="000778A2">
              <w:rPr>
                <w:rFonts w:ascii="Bookman Old Style" w:eastAsia="Times New Roman" w:hAnsi="Bookman Old Style" w:cs="Arial"/>
                <w:i/>
                <w:shd w:val="clear" w:color="auto" w:fill="FFFFFF"/>
                <w:lang w:eastAsia="it-IT"/>
              </w:rPr>
              <w:t>incapienti), senza effetti sostanziali sull’ammontare netto delle risorse da assegnare.</w:t>
            </w:r>
            <w:r w:rsidRPr="000778A2">
              <w:rPr>
                <w:rFonts w:ascii="Bookman Old Style" w:eastAsia="Times New Roman" w:hAnsi="Bookman Old Style" w:cs="Arial"/>
                <w:i/>
                <w:lang w:eastAsia="it-IT"/>
              </w:rPr>
              <w:t> </w:t>
            </w: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lastRenderedPageBreak/>
              <w:t>449</w:t>
            </w:r>
            <w:r w:rsidRPr="00E847D3">
              <w:rPr>
                <w:rFonts w:ascii="Bookman Old Style" w:eastAsia="Times New Roman" w:hAnsi="Bookman Old Style" w:cs="Arial"/>
                <w:shd w:val="clear" w:color="auto" w:fill="FFFFFF"/>
                <w:lang w:eastAsia="it-IT"/>
              </w:rPr>
              <w:t>. Il Fondo di solidarietà comunale di cui al comma 4</w:t>
            </w:r>
            <w:r>
              <w:rPr>
                <w:rFonts w:ascii="Bookman Old Style" w:eastAsia="Times New Roman" w:hAnsi="Bookman Old Style" w:cs="Arial"/>
                <w:shd w:val="clear" w:color="auto" w:fill="FFFFFF"/>
                <w:lang w:eastAsia="it-IT"/>
              </w:rPr>
              <w:t>48</w:t>
            </w:r>
            <w:r w:rsidRPr="00E847D3">
              <w:rPr>
                <w:rFonts w:ascii="Bookman Old Style" w:eastAsia="Times New Roman" w:hAnsi="Bookman Old Style" w:cs="Arial"/>
                <w:shd w:val="clear" w:color="auto" w:fill="FFFFFF"/>
                <w:lang w:eastAsia="it-IT"/>
              </w:rPr>
              <w:t xml:space="preserve"> è:</w:t>
            </w:r>
          </w:p>
          <w:p w:rsidR="00F07B8A" w:rsidRDefault="00F07B8A" w:rsidP="00F07B8A">
            <w:pPr>
              <w:shd w:val="clear" w:color="auto" w:fill="FFFFFF"/>
              <w:jc w:val="both"/>
              <w:rPr>
                <w:rFonts w:ascii="Bookman Old Style" w:eastAsia="Times New Roman" w:hAnsi="Bookman Old Style" w:cs="Times New Roman"/>
                <w:lang w:eastAsia="it-IT"/>
              </w:rPr>
            </w:pPr>
          </w:p>
          <w:p w:rsidR="00F07B8A" w:rsidRPr="00E847D3" w:rsidRDefault="00F07B8A" w:rsidP="00F07B8A">
            <w:pPr>
              <w:shd w:val="clear" w:color="auto" w:fill="FFFFFF"/>
              <w:jc w:val="both"/>
              <w:rPr>
                <w:rFonts w:ascii="Bookman Old Style" w:eastAsia="Times New Roman" w:hAnsi="Bookman Old Style" w:cs="Times New Roman"/>
                <w:lang w:eastAsia="it-IT"/>
              </w:rPr>
            </w:pPr>
          </w:p>
          <w:p w:rsidR="00F07B8A" w:rsidRPr="00F64397" w:rsidRDefault="00F07B8A" w:rsidP="008A026A">
            <w:pPr>
              <w:pStyle w:val="Paragrafoelenco"/>
              <w:numPr>
                <w:ilvl w:val="0"/>
                <w:numId w:val="2"/>
              </w:numPr>
              <w:shd w:val="clear" w:color="auto" w:fill="FFFFFF"/>
              <w:ind w:left="313"/>
              <w:jc w:val="both"/>
              <w:rPr>
                <w:rFonts w:ascii="Bookman Old Style" w:eastAsia="Times New Roman" w:hAnsi="Bookman Old Style" w:cs="Arial"/>
                <w:lang w:eastAsia="it-IT"/>
              </w:rPr>
            </w:pPr>
            <w:r w:rsidRPr="00F64397">
              <w:rPr>
                <w:rFonts w:ascii="Bookman Old Style" w:eastAsia="Times New Roman" w:hAnsi="Bookman Old Style" w:cs="Arial"/>
                <w:lang w:eastAsia="it-IT"/>
              </w:rPr>
              <w:t>ripartito, quanto a euro 3.767.450.000, tra i comuni interessati sulla base del gettito effettivo dell'IMU e del tributo per i servizi indivisibili (TASI), relativo all'anno 2015 derivante dall'applicazione dei commi da 10 a 16, e dei commi 53 e 54 dell'</w:t>
            </w:r>
            <w:hyperlink r:id="rId47" w:anchor="art1" w:tgtFrame="rifNormativi" w:history="1">
              <w:r w:rsidRPr="00F64397">
                <w:rPr>
                  <w:rFonts w:ascii="Bookman Old Style" w:eastAsia="Times New Roman" w:hAnsi="Bookman Old Style" w:cs="Arial"/>
                  <w:lang w:eastAsia="it-IT"/>
                </w:rPr>
                <w:t>articolo 1 della legge 28 dicembre 2015, n. 208</w:t>
              </w:r>
            </w:hyperlink>
            <w:r w:rsidRPr="00F64397">
              <w:rPr>
                <w:rFonts w:ascii="Bookman Old Style" w:eastAsia="Times New Roman" w:hAnsi="Bookman Old Style" w:cs="Arial"/>
                <w:lang w:eastAsia="it-IT"/>
              </w:rPr>
              <w:t>;</w:t>
            </w: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lang w:eastAsia="it-IT"/>
              </w:rPr>
            </w:pPr>
          </w:p>
          <w:p w:rsidR="008A026A" w:rsidRDefault="008A026A" w:rsidP="00F07B8A">
            <w:pPr>
              <w:shd w:val="clear" w:color="auto" w:fill="FFFFFF"/>
              <w:jc w:val="both"/>
              <w:rPr>
                <w:rFonts w:ascii="Bookman Old Style" w:eastAsia="Times New Roman" w:hAnsi="Bookman Old Style" w:cs="Arial"/>
                <w:lang w:eastAsia="it-IT"/>
              </w:rPr>
            </w:pP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Pr="00F64397" w:rsidRDefault="00F07B8A" w:rsidP="008A026A">
            <w:pPr>
              <w:pStyle w:val="Paragrafoelenco"/>
              <w:numPr>
                <w:ilvl w:val="0"/>
                <w:numId w:val="2"/>
              </w:numPr>
              <w:shd w:val="clear" w:color="auto" w:fill="FFFFFF"/>
              <w:ind w:left="313"/>
              <w:jc w:val="both"/>
              <w:rPr>
                <w:rFonts w:ascii="Bookman Old Style" w:eastAsia="Times New Roman" w:hAnsi="Bookman Old Style" w:cs="Arial"/>
                <w:lang w:eastAsia="it-IT"/>
              </w:rPr>
            </w:pPr>
            <w:r w:rsidRPr="00F64397">
              <w:rPr>
                <w:rFonts w:ascii="Bookman Old Style" w:eastAsia="Times New Roman" w:hAnsi="Bookman Old Style" w:cs="Arial"/>
                <w:lang w:eastAsia="it-IT"/>
              </w:rPr>
              <w:t>ripartito, nell'importo massimo di 80 milioni di euro, tra i comuni per i quali il riparto dell'importo di cui alla lettera </w:t>
            </w:r>
            <w:r w:rsidRPr="00F64397">
              <w:rPr>
                <w:rFonts w:ascii="Bookman Old Style" w:eastAsia="Times New Roman" w:hAnsi="Bookman Old Style" w:cs="Arial"/>
                <w:i/>
                <w:iCs/>
                <w:lang w:eastAsia="it-IT"/>
              </w:rPr>
              <w:t>a)</w:t>
            </w:r>
            <w:r w:rsidRPr="00F64397">
              <w:rPr>
                <w:rFonts w:ascii="Bookman Old Style" w:eastAsia="Times New Roman" w:hAnsi="Bookman Old Style" w:cs="Arial"/>
                <w:lang w:eastAsia="it-IT"/>
              </w:rPr>
              <w:t> non assicura il ristoro di un importo equivalente al gettito della TASI sull'abitazione principale stimato ad aliquota di base. Tale importo è ripartito in modo da garantire a ciascuno dei comuni di cui al precedente periodo l'equivalente del gettito della TASI sull'abitazione principale stimato ad aliquota di base;</w:t>
            </w:r>
          </w:p>
          <w:p w:rsidR="00F07B8A" w:rsidRPr="00E847D3" w:rsidRDefault="00F07B8A" w:rsidP="00F07B8A">
            <w:pPr>
              <w:shd w:val="clear" w:color="auto" w:fill="FFFFFF"/>
              <w:jc w:val="both"/>
              <w:rPr>
                <w:rFonts w:ascii="Bookman Old Style" w:eastAsia="Times New Roman" w:hAnsi="Bookman Old Style" w:cs="Arial"/>
                <w:lang w:eastAsia="it-IT"/>
              </w:rPr>
            </w:pPr>
          </w:p>
          <w:p w:rsidR="00F07B8A" w:rsidRDefault="00F07B8A" w:rsidP="008A026A">
            <w:pPr>
              <w:pStyle w:val="Paragrafoelenco"/>
              <w:numPr>
                <w:ilvl w:val="0"/>
                <w:numId w:val="2"/>
              </w:numPr>
              <w:shd w:val="clear" w:color="auto" w:fill="FFFFFF"/>
              <w:ind w:left="313"/>
              <w:jc w:val="both"/>
              <w:rPr>
                <w:rFonts w:ascii="Bookman Old Style" w:eastAsia="Times New Roman" w:hAnsi="Bookman Old Style" w:cs="Arial"/>
                <w:shd w:val="clear" w:color="auto" w:fill="FFFFFF"/>
                <w:lang w:eastAsia="it-IT"/>
              </w:rPr>
            </w:pPr>
            <w:r w:rsidRPr="00924513">
              <w:rPr>
                <w:rFonts w:ascii="Bookman Old Style" w:eastAsia="Times New Roman" w:hAnsi="Bookman Old Style" w:cs="Arial"/>
                <w:lang w:eastAsia="it-IT"/>
              </w:rPr>
              <w:t>destinato, per euro 1.885.643.345,70, eventualmente incrementati della quota di cui alla lettera</w:t>
            </w:r>
            <w:r>
              <w:rPr>
                <w:rFonts w:ascii="Bookman Old Style" w:eastAsia="Times New Roman" w:hAnsi="Bookman Old Style" w:cs="Arial"/>
                <w:lang w:eastAsia="it-IT"/>
              </w:rPr>
              <w:t xml:space="preserve"> </w:t>
            </w:r>
            <w:r w:rsidRPr="00924513">
              <w:rPr>
                <w:rFonts w:ascii="Bookman Old Style" w:eastAsia="Times New Roman" w:hAnsi="Bookman Old Style" w:cs="Arial"/>
                <w:i/>
                <w:iCs/>
                <w:lang w:eastAsia="it-IT"/>
              </w:rPr>
              <w:t>b)</w:t>
            </w:r>
            <w:r>
              <w:rPr>
                <w:rFonts w:ascii="Bookman Old Style" w:eastAsia="Times New Roman" w:hAnsi="Bookman Old Style" w:cs="Arial"/>
                <w:i/>
                <w:iCs/>
                <w:lang w:eastAsia="it-IT"/>
              </w:rPr>
              <w:t xml:space="preserve"> </w:t>
            </w:r>
            <w:r w:rsidRPr="00924513">
              <w:rPr>
                <w:rFonts w:ascii="Bookman Old Style" w:eastAsia="Times New Roman" w:hAnsi="Bookman Old Style" w:cs="Arial"/>
                <w:lang w:eastAsia="it-IT"/>
              </w:rPr>
              <w:t>non distribuita e della quota dell'imposta municipale propria di spettanza dei comuni connessa alla regolazione dei rapporti finanziari, ai comuni delle regioni a statuto ordinario, di cui il 40 per cento per l'anno 2017, il 55 per cento per l'anno 2018, il 70 per cento per l'anno 2019, l'85 per cento per l'anno 2020 e il 100 per cento a decorrere dall'anno 2021, da distribuire tra i predetti comuni sulla base della differenza tra le capacità fiscali e i fabbisogni </w:t>
            </w:r>
            <w:r w:rsidRPr="00924513">
              <w:rPr>
                <w:rFonts w:ascii="Bookman Old Style" w:eastAsia="Times New Roman" w:hAnsi="Bookman Old Style" w:cs="Arial"/>
                <w:i/>
                <w:iCs/>
                <w:lang w:eastAsia="it-IT"/>
              </w:rPr>
              <w:t>standard</w:t>
            </w:r>
            <w:r w:rsidRPr="00924513">
              <w:rPr>
                <w:rFonts w:ascii="Bookman Old Style" w:eastAsia="Times New Roman" w:hAnsi="Bookman Old Style" w:cs="Arial"/>
                <w:lang w:eastAsia="it-IT"/>
              </w:rPr>
              <w:t xml:space="preserve"> approvati dalla Commissione </w:t>
            </w:r>
            <w:r w:rsidRPr="00924513">
              <w:rPr>
                <w:rFonts w:ascii="Bookman Old Style" w:eastAsia="Times New Roman" w:hAnsi="Bookman Old Style" w:cs="Arial"/>
                <w:lang w:eastAsia="it-IT"/>
              </w:rPr>
              <w:lastRenderedPageBreak/>
              <w:t>tecnica per i fabbisogni </w:t>
            </w:r>
            <w:r w:rsidRPr="00924513">
              <w:rPr>
                <w:rFonts w:ascii="Bookman Old Style" w:eastAsia="Times New Roman" w:hAnsi="Bookman Old Style" w:cs="Arial"/>
                <w:i/>
                <w:iCs/>
                <w:lang w:eastAsia="it-IT"/>
              </w:rPr>
              <w:t>standard</w:t>
            </w:r>
            <w:r w:rsidRPr="00924513">
              <w:rPr>
                <w:rFonts w:ascii="Bookman Old Style" w:eastAsia="Times New Roman" w:hAnsi="Bookman Old Style" w:cs="Arial"/>
                <w:lang w:eastAsia="it-IT"/>
              </w:rPr>
              <w:t> entro il 30 settembre dell'anno precedente a quello di riferimento. L'ammontare complessivo della capacità fiscale perequabile dei comuni delle regioni a statuto ordinario è</w:t>
            </w:r>
            <w:r>
              <w:rPr>
                <w:rFonts w:ascii="Bookman Old Style" w:eastAsia="Times New Roman" w:hAnsi="Bookman Old Style" w:cs="Arial"/>
                <w:lang w:eastAsia="it-IT"/>
              </w:rPr>
              <w:t xml:space="preserve"> </w:t>
            </w:r>
            <w:r w:rsidRPr="00924513">
              <w:rPr>
                <w:rFonts w:ascii="Bookman Old Style" w:eastAsia="Times New Roman" w:hAnsi="Bookman Old Style" w:cs="Arial"/>
                <w:shd w:val="clear" w:color="auto" w:fill="FFFFFF"/>
                <w:lang w:eastAsia="it-IT"/>
              </w:rPr>
              <w:t>determinata in misura pari al 50 per cento dell'ammontare complessivo della capacità fiscale da perequare. La restante quota è, invece, distribuita assicurando a ciascun comune un importo pari all'ammontare algebrico della medesima componente del Fondo di solidarietà comunale dell'anno precedente, eventualmente rettificata, variato in misura corrispondente alla variazione della quota di fondo non ripartita secondo i criteri di cui al primo periodo;</w:t>
            </w:r>
          </w:p>
          <w:p w:rsidR="00F07B8A" w:rsidRPr="00924513" w:rsidRDefault="00F07B8A" w:rsidP="00F07B8A">
            <w:pPr>
              <w:pStyle w:val="Paragrafoelenco"/>
              <w:shd w:val="clear" w:color="auto" w:fill="FFFFFF"/>
              <w:jc w:val="both"/>
              <w:rPr>
                <w:rFonts w:ascii="Bookman Old Style" w:eastAsia="Times New Roman" w:hAnsi="Bookman Old Style" w:cs="Arial"/>
                <w:shd w:val="clear" w:color="auto" w:fill="FFFFFF"/>
                <w:lang w:eastAsia="it-IT"/>
              </w:rPr>
            </w:pPr>
          </w:p>
          <w:p w:rsidR="00F07B8A" w:rsidRPr="00B25DA7" w:rsidRDefault="001152CF" w:rsidP="008A026A">
            <w:pPr>
              <w:pStyle w:val="Paragrafoelenco"/>
              <w:numPr>
                <w:ilvl w:val="0"/>
                <w:numId w:val="2"/>
              </w:numPr>
              <w:shd w:val="clear" w:color="auto" w:fill="FFFFFF"/>
              <w:ind w:left="313"/>
              <w:jc w:val="both"/>
              <w:rPr>
                <w:rFonts w:ascii="Bookman Old Style" w:eastAsia="Times New Roman" w:hAnsi="Bookman Old Style" w:cs="Arial"/>
                <w:lang w:eastAsia="it-IT"/>
              </w:rPr>
            </w:pPr>
            <w:r>
              <w:rPr>
                <w:rFonts w:ascii="Bookman Old Style" w:eastAsia="Times New Roman" w:hAnsi="Bookman Old Style" w:cs="Arial"/>
                <w:lang w:eastAsia="it-IT"/>
              </w:rPr>
              <w:t xml:space="preserve">destinato, </w:t>
            </w:r>
            <w:r w:rsidR="00F07B8A" w:rsidRPr="00B25DA7">
              <w:rPr>
                <w:rFonts w:ascii="Bookman Old Style" w:eastAsia="Times New Roman" w:hAnsi="Bookman Old Style" w:cs="Arial"/>
                <w:lang w:eastAsia="it-IT"/>
              </w:rPr>
              <w:t>per euro 464.091.019,18, eventualmente incrementati della quota di cui alla lettera </w:t>
            </w:r>
            <w:r w:rsidR="00F07B8A" w:rsidRPr="00B25DA7">
              <w:rPr>
                <w:rFonts w:ascii="Bookman Old Style" w:eastAsia="Times New Roman" w:hAnsi="Bookman Old Style" w:cs="Arial"/>
                <w:i/>
                <w:iCs/>
                <w:lang w:eastAsia="it-IT"/>
              </w:rPr>
              <w:t>b)</w:t>
            </w:r>
            <w:r w:rsidR="00F07B8A" w:rsidRPr="00B25DA7">
              <w:rPr>
                <w:rFonts w:ascii="Bookman Old Style" w:eastAsia="Times New Roman" w:hAnsi="Bookman Old Style" w:cs="Arial"/>
                <w:lang w:eastAsia="it-IT"/>
              </w:rPr>
              <w:t> non distribuita e della quota dell'imposta municipale propria di spettanza dei comuni dovuta alla regolazione dei rapporti finanziari, ai comuni delle regioni Sicilia e Sardegna. Tale importo è ripartito assicurando a ciascun comune una somma pari all'ammontare algebrico del medesimo fondo di solidarietà comunale dell'anno precedente, eventualmente rettificato, variata in misura corrispondente alla variazione del fondo di solidarietà comunale complessivo.</w:t>
            </w:r>
          </w:p>
        </w:tc>
        <w:tc>
          <w:tcPr>
            <w:tcW w:w="7139" w:type="dxa"/>
            <w:gridSpan w:val="3"/>
          </w:tcPr>
          <w:p w:rsidR="00F07B8A" w:rsidRDefault="00F07B8A" w:rsidP="00F07B8A">
            <w:pPr>
              <w:jc w:val="both"/>
              <w:rPr>
                <w:rFonts w:ascii="Bookman Old Style" w:hAnsi="Bookman Old Style"/>
                <w:i/>
                <w:color w:val="000000"/>
              </w:rPr>
            </w:pPr>
            <w:r w:rsidRPr="000778A2">
              <w:rPr>
                <w:rFonts w:ascii="Bookman Old Style" w:hAnsi="Bookman Old Style"/>
                <w:i/>
                <w:color w:val="000000"/>
              </w:rPr>
              <w:lastRenderedPageBreak/>
              <w:t xml:space="preserve">Il </w:t>
            </w:r>
            <w:r w:rsidRPr="000778A2">
              <w:rPr>
                <w:rFonts w:ascii="Bookman Old Style" w:hAnsi="Bookman Old Style"/>
                <w:b/>
                <w:i/>
                <w:color w:val="000000"/>
              </w:rPr>
              <w:t>comma 449</w:t>
            </w:r>
            <w:r w:rsidRPr="000778A2">
              <w:rPr>
                <w:rFonts w:ascii="Bookman Old Style" w:hAnsi="Bookman Old Style"/>
                <w:i/>
                <w:color w:val="000000"/>
              </w:rPr>
              <w:t xml:space="preserve"> stabilisce i criteri di ripartizione del Fondo confermando sostanzialmente quelli attualmente vigenti anche con riferimento </w:t>
            </w:r>
            <w:r w:rsidR="008A026A">
              <w:rPr>
                <w:rFonts w:ascii="Bookman Old Style" w:hAnsi="Bookman Old Style"/>
                <w:i/>
                <w:color w:val="000000"/>
              </w:rPr>
              <w:t>alle diverse componenti</w:t>
            </w:r>
            <w:r w:rsidRPr="000778A2">
              <w:rPr>
                <w:rFonts w:ascii="Bookman Old Style" w:hAnsi="Bookman Old Style"/>
                <w:i/>
                <w:color w:val="000000"/>
              </w:rPr>
              <w:t>.</w:t>
            </w:r>
          </w:p>
          <w:p w:rsidR="00F07B8A" w:rsidRDefault="00F07B8A" w:rsidP="00F07B8A">
            <w:pPr>
              <w:jc w:val="both"/>
              <w:rPr>
                <w:rFonts w:ascii="Bookman Old Style" w:eastAsia="Times New Roman" w:hAnsi="Bookman Old Style" w:cs="Arial"/>
                <w:i/>
                <w:lang w:eastAsia="it-IT"/>
              </w:rPr>
            </w:pPr>
            <w:r w:rsidRPr="000778A2">
              <w:rPr>
                <w:rFonts w:ascii="Bookman Old Style" w:hAnsi="Bookman Old Style"/>
                <w:i/>
                <w:color w:val="000000"/>
              </w:rPr>
              <w:t xml:space="preserve">In particolare, </w:t>
            </w:r>
            <w:r w:rsidRPr="000778A2">
              <w:rPr>
                <w:rFonts w:ascii="Bookman Old Style" w:hAnsi="Bookman Old Style"/>
                <w:b/>
                <w:i/>
                <w:color w:val="000000"/>
              </w:rPr>
              <w:t>la lettera a)</w:t>
            </w:r>
            <w:r w:rsidR="005E7087">
              <w:rPr>
                <w:rFonts w:ascii="Bookman Old Style" w:hAnsi="Bookman Old Style"/>
                <w:b/>
                <w:i/>
                <w:color w:val="000000"/>
              </w:rPr>
              <w:t xml:space="preserve"> </w:t>
            </w:r>
            <w:r w:rsidRPr="000778A2">
              <w:rPr>
                <w:rFonts w:ascii="Bookman Old Style" w:hAnsi="Bookman Old Style"/>
                <w:i/>
                <w:color w:val="000000"/>
              </w:rPr>
              <w:t xml:space="preserve">conferma l’assegnazione di 3.767,45 milioni di euro da ripartire </w:t>
            </w:r>
            <w:r w:rsidR="008A026A">
              <w:rPr>
                <w:rFonts w:ascii="Bookman Old Style" w:hAnsi="Bookman Old Style"/>
                <w:i/>
                <w:color w:val="000000"/>
              </w:rPr>
              <w:t xml:space="preserve">stabilmente a titolo di ristoro </w:t>
            </w:r>
            <w:r w:rsidRPr="000778A2">
              <w:rPr>
                <w:rFonts w:ascii="Bookman Old Style" w:hAnsi="Bookman Old Style"/>
                <w:i/>
                <w:color w:val="000000"/>
              </w:rPr>
              <w:t>– analogamente a quanto avvenuto nel 2016</w:t>
            </w:r>
            <w:r w:rsidR="008A026A">
              <w:rPr>
                <w:rFonts w:ascii="Bookman Old Style" w:hAnsi="Bookman Old Style"/>
                <w:i/>
                <w:color w:val="000000"/>
              </w:rPr>
              <w:t xml:space="preserve"> – </w:t>
            </w:r>
            <w:r w:rsidRPr="000778A2">
              <w:rPr>
                <w:rFonts w:ascii="Bookman Old Style" w:hAnsi="Bookman Old Style"/>
                <w:i/>
                <w:color w:val="000000"/>
              </w:rPr>
              <w:t xml:space="preserve">sulla base del </w:t>
            </w:r>
            <w:r w:rsidRPr="000778A2">
              <w:rPr>
                <w:rFonts w:ascii="Bookman Old Style" w:eastAsia="Times New Roman" w:hAnsi="Bookman Old Style" w:cs="Arial"/>
                <w:i/>
                <w:lang w:eastAsia="it-IT"/>
              </w:rPr>
              <w:t xml:space="preserve">gettito dell'IMU e della Tasi </w:t>
            </w:r>
            <w:r w:rsidR="008A026A">
              <w:rPr>
                <w:rFonts w:ascii="Bookman Old Style" w:eastAsia="Times New Roman" w:hAnsi="Bookman Old Style" w:cs="Arial"/>
                <w:i/>
                <w:lang w:eastAsia="it-IT"/>
              </w:rPr>
              <w:t xml:space="preserve">perduto per effetto delle </w:t>
            </w:r>
            <w:r w:rsidRPr="000778A2">
              <w:rPr>
                <w:rFonts w:ascii="Bookman Old Style" w:eastAsia="Times New Roman" w:hAnsi="Bookman Old Style" w:cs="Arial"/>
                <w:i/>
                <w:lang w:eastAsia="it-IT"/>
              </w:rPr>
              <w:t>agevolazioni ed esenzioni introdotte dalla legge di stabilità 2016 (abolizione Tasi abitazione principale, esenzione Imu terreni agricoli e ripristino vecchio regime di imponibilità terreni montani, esenzione Tasi inquilini abitazione principale, esenzione Imu immobili cooperative edilizie adibite ad abitazione principale da studenti universitari, agevolazioni su comodati e concordati).</w:t>
            </w:r>
          </w:p>
          <w:p w:rsidR="00F07B8A" w:rsidRPr="000778A2" w:rsidRDefault="00F07B8A" w:rsidP="00F07B8A">
            <w:pPr>
              <w:jc w:val="both"/>
              <w:rPr>
                <w:rFonts w:ascii="Bookman Old Style" w:eastAsia="Times New Roman" w:hAnsi="Bookman Old Style" w:cs="Arial"/>
                <w:i/>
                <w:lang w:eastAsia="it-IT"/>
              </w:rPr>
            </w:pPr>
          </w:p>
          <w:p w:rsidR="00F07B8A"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La </w:t>
            </w:r>
            <w:r w:rsidRPr="000778A2">
              <w:rPr>
                <w:rFonts w:ascii="Bookman Old Style" w:eastAsia="Times New Roman" w:hAnsi="Bookman Old Style" w:cs="Arial"/>
                <w:b/>
                <w:i/>
                <w:lang w:eastAsia="it-IT"/>
              </w:rPr>
              <w:t xml:space="preserve">lettera b) </w:t>
            </w:r>
            <w:r w:rsidRPr="000778A2">
              <w:rPr>
                <w:rFonts w:ascii="Bookman Old Style" w:eastAsia="Times New Roman" w:hAnsi="Bookman Old Style" w:cs="Arial"/>
                <w:i/>
                <w:lang w:eastAsia="it-IT"/>
              </w:rPr>
              <w:t>conferma il riparto, fino ad un massimo di 80 milioni di euro, delle risorse destinate a compensare</w:t>
            </w:r>
            <w:r>
              <w:rPr>
                <w:rFonts w:ascii="Bookman Old Style" w:eastAsia="Times New Roman" w:hAnsi="Bookman Old Style" w:cs="Arial"/>
                <w:i/>
                <w:lang w:eastAsia="it-IT"/>
              </w:rPr>
              <w:t xml:space="preserve"> </w:t>
            </w:r>
            <w:r w:rsidRPr="000778A2">
              <w:rPr>
                <w:rFonts w:ascii="Bookman Old Style" w:eastAsia="Times New Roman" w:hAnsi="Bookman Old Style" w:cs="Arial"/>
                <w:i/>
                <w:lang w:eastAsia="it-IT"/>
              </w:rPr>
              <w:t>i Comuni che avevano deliberato nel 2015 regimi fiscali Tasi sull’abitazione principale inferiori all’aliquota base dell’1 per mille, fino all’ammontare del rispettivo gettito standard.</w:t>
            </w:r>
            <w:r w:rsidR="001152CF">
              <w:rPr>
                <w:rFonts w:ascii="Bookman Old Style" w:eastAsia="Times New Roman" w:hAnsi="Bookman Old Style" w:cs="Arial"/>
                <w:i/>
                <w:lang w:eastAsia="it-IT"/>
              </w:rPr>
              <w:t xml:space="preserve"> Il contributo, di carattere strutturale</w:t>
            </w:r>
            <w:r w:rsidR="0012490B">
              <w:rPr>
                <w:rFonts w:ascii="Bookman Old Style" w:eastAsia="Times New Roman" w:hAnsi="Bookman Old Style" w:cs="Arial"/>
                <w:i/>
                <w:lang w:eastAsia="it-IT"/>
              </w:rPr>
              <w:t>, era stato disposto attraverso una riserva sul FSC dal comma 17, lett. f) della Legge di stabilità per il 2016.</w:t>
            </w:r>
          </w:p>
          <w:p w:rsidR="00F07B8A" w:rsidRDefault="00F07B8A" w:rsidP="00F07B8A">
            <w:pPr>
              <w:jc w:val="both"/>
              <w:rPr>
                <w:rFonts w:ascii="Bookman Old Style" w:eastAsia="Times New Roman" w:hAnsi="Bookman Old Style" w:cs="Arial"/>
                <w:i/>
                <w:lang w:eastAsia="it-IT"/>
              </w:rPr>
            </w:pPr>
          </w:p>
          <w:p w:rsidR="008A026A" w:rsidRDefault="008A026A" w:rsidP="00F07B8A">
            <w:pPr>
              <w:jc w:val="both"/>
              <w:rPr>
                <w:rFonts w:ascii="Bookman Old Style" w:hAnsi="Bookman Old Style"/>
                <w:i/>
                <w:color w:val="000000"/>
              </w:rPr>
            </w:pP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hAnsi="Bookman Old Style"/>
                <w:i/>
                <w:color w:val="000000"/>
              </w:rPr>
              <w:t xml:space="preserve">La </w:t>
            </w:r>
            <w:r w:rsidRPr="000778A2">
              <w:rPr>
                <w:rFonts w:ascii="Bookman Old Style" w:hAnsi="Bookman Old Style"/>
                <w:b/>
                <w:i/>
                <w:color w:val="000000"/>
              </w:rPr>
              <w:t>lettera c)</w:t>
            </w:r>
            <w:r w:rsidRPr="000778A2">
              <w:rPr>
                <w:rFonts w:ascii="Bookman Old Style" w:hAnsi="Bookman Old Style"/>
                <w:i/>
                <w:color w:val="000000"/>
              </w:rPr>
              <w:t xml:space="preserve"> fissa la quota del Fondo di Solidarietà Comunale da distribuire ai </w:t>
            </w:r>
            <w:r w:rsidRPr="000778A2">
              <w:rPr>
                <w:rFonts w:ascii="Bookman Old Style" w:eastAsia="Times New Roman" w:hAnsi="Bookman Old Style" w:cs="Arial"/>
                <w:i/>
                <w:lang w:eastAsia="it-IT"/>
              </w:rPr>
              <w:t>comuni delle regioni a statuto ordinario in circa 1.885,6 milioni di euro, eventualmente incrementati per effetto delle regolazioni finanziarie e del residuo non distribuito</w:t>
            </w:r>
            <w:r>
              <w:rPr>
                <w:rFonts w:ascii="Bookman Old Style" w:eastAsia="Times New Roman" w:hAnsi="Bookman Old Style" w:cs="Arial"/>
                <w:i/>
                <w:lang w:eastAsia="it-IT"/>
              </w:rPr>
              <w:t xml:space="preserve"> </w:t>
            </w:r>
            <w:r w:rsidRPr="000778A2">
              <w:rPr>
                <w:rFonts w:ascii="Bookman Old Style" w:eastAsia="Times New Roman" w:hAnsi="Bookman Old Style" w:cs="Arial"/>
                <w:i/>
                <w:lang w:eastAsia="it-IT"/>
              </w:rPr>
              <w:t>degli 80 milioni di euro di cui alla lettera b).</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La quota perequativa del fondo, basata sulla differenza tra le capacità fiscali e i fabbisogni </w:t>
            </w:r>
            <w:r w:rsidRPr="000778A2">
              <w:rPr>
                <w:rFonts w:ascii="Bookman Old Style" w:eastAsia="Times New Roman" w:hAnsi="Bookman Old Style" w:cs="Arial"/>
                <w:i/>
                <w:iCs/>
                <w:lang w:eastAsia="it-IT"/>
              </w:rPr>
              <w:t>standard,</w:t>
            </w:r>
            <w:r w:rsidRPr="000778A2">
              <w:rPr>
                <w:rFonts w:ascii="Bookman Old Style" w:eastAsia="Times New Roman" w:hAnsi="Bookman Old Style" w:cs="Arial"/>
                <w:i/>
                <w:lang w:eastAsia="it-IT"/>
              </w:rPr>
              <w:t xml:space="preserve"> è fissata in misura crescente dal confermato 40% del 2017 al 100% del 2021. A differenza degli anni scorsi, l’ammontare complessivo della capacità fiscale perequabile è </w:t>
            </w:r>
            <w:r w:rsidR="008A026A">
              <w:rPr>
                <w:rFonts w:ascii="Bookman Old Style" w:eastAsia="Times New Roman" w:hAnsi="Bookman Old Style" w:cs="Arial"/>
                <w:i/>
                <w:lang w:eastAsia="it-IT"/>
              </w:rPr>
              <w:t>definit</w:t>
            </w:r>
            <w:r w:rsidR="001152CF">
              <w:rPr>
                <w:rFonts w:ascii="Bookman Old Style" w:eastAsia="Times New Roman" w:hAnsi="Bookman Old Style" w:cs="Arial"/>
                <w:i/>
                <w:lang w:eastAsia="it-IT"/>
              </w:rPr>
              <w:t xml:space="preserve">ivamente </w:t>
            </w:r>
            <w:r w:rsidRPr="000778A2">
              <w:rPr>
                <w:rFonts w:ascii="Bookman Old Style" w:eastAsia="Times New Roman" w:hAnsi="Bookman Old Style" w:cs="Arial"/>
                <w:i/>
                <w:lang w:eastAsia="it-IT"/>
              </w:rPr>
              <w:t>stabilito nella misura del 50%</w:t>
            </w:r>
            <w:r w:rsidR="001152CF">
              <w:rPr>
                <w:rFonts w:ascii="Bookman Old Style" w:eastAsia="Times New Roman" w:hAnsi="Bookman Old Style" w:cs="Arial"/>
                <w:i/>
                <w:lang w:eastAsia="it-IT"/>
              </w:rPr>
              <w:t>.</w:t>
            </w:r>
            <w:r w:rsidRPr="000778A2">
              <w:rPr>
                <w:rFonts w:ascii="Bookman Old Style" w:eastAsia="Times New Roman" w:hAnsi="Bookman Old Style" w:cs="Arial"/>
                <w:i/>
                <w:lang w:eastAsia="it-IT"/>
              </w:rPr>
              <w:t xml:space="preserve"> La nuova percentuale è fissata a regime dopo </w:t>
            </w:r>
            <w:r w:rsidRPr="000778A2">
              <w:rPr>
                <w:rFonts w:ascii="Bookman Old Style" w:eastAsia="Times New Roman" w:hAnsi="Bookman Old Style" w:cs="Arial"/>
                <w:i/>
                <w:lang w:eastAsia="it-IT"/>
              </w:rPr>
              <w:lastRenderedPageBreak/>
              <w:t xml:space="preserve">due anni di </w:t>
            </w:r>
            <w:r w:rsidR="001152CF">
              <w:rPr>
                <w:rFonts w:ascii="Bookman Old Style" w:eastAsia="Times New Roman" w:hAnsi="Bookman Old Style" w:cs="Arial"/>
                <w:i/>
                <w:lang w:eastAsia="it-IT"/>
              </w:rPr>
              <w:t xml:space="preserve">applicazione transitoria della misura del </w:t>
            </w:r>
            <w:r w:rsidR="001152CF" w:rsidRPr="000778A2">
              <w:rPr>
                <w:rFonts w:ascii="Bookman Old Style" w:eastAsia="Times New Roman" w:hAnsi="Bookman Old Style" w:cs="Arial"/>
                <w:i/>
                <w:lang w:eastAsia="it-IT"/>
              </w:rPr>
              <w:t>45,8%</w:t>
            </w:r>
            <w:r w:rsidR="001152CF">
              <w:rPr>
                <w:rFonts w:ascii="Bookman Old Style" w:eastAsia="Times New Roman" w:hAnsi="Bookman Old Style" w:cs="Arial"/>
                <w:i/>
                <w:lang w:eastAsia="it-IT"/>
              </w:rPr>
              <w:t>.</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La </w:t>
            </w:r>
            <w:r w:rsidR="001152CF">
              <w:rPr>
                <w:rFonts w:ascii="Bookman Old Style" w:eastAsia="Times New Roman" w:hAnsi="Bookman Old Style" w:cs="Arial"/>
                <w:i/>
                <w:lang w:eastAsia="it-IT"/>
              </w:rPr>
              <w:t xml:space="preserve">quota resiua del fondo </w:t>
            </w:r>
            <w:r w:rsidRPr="000778A2">
              <w:rPr>
                <w:rFonts w:ascii="Bookman Old Style" w:eastAsia="Times New Roman" w:hAnsi="Bookman Old Style" w:cs="Arial"/>
                <w:i/>
                <w:lang w:eastAsia="it-IT"/>
              </w:rPr>
              <w:t xml:space="preserve">è ripartita, </w:t>
            </w:r>
            <w:r w:rsidR="001152CF">
              <w:rPr>
                <w:rFonts w:ascii="Bookman Old Style" w:eastAsia="Times New Roman" w:hAnsi="Bookman Old Style" w:cs="Arial"/>
                <w:i/>
                <w:lang w:eastAsia="it-IT"/>
              </w:rPr>
              <w:t>fino al 2020</w:t>
            </w:r>
            <w:r w:rsidRPr="000778A2">
              <w:rPr>
                <w:rFonts w:ascii="Bookman Old Style" w:eastAsia="Times New Roman" w:hAnsi="Bookman Old Style" w:cs="Arial"/>
                <w:i/>
                <w:lang w:eastAsia="it-IT"/>
              </w:rPr>
              <w:t>, sulla base del criterio compensativo delle risorse storiche.</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La norma dispone, inoltre, che i fabbisogni standard da utilizzare ai fini della perequazione sono approvati dalla Commissione tecnica per i fabbisogni standard entro il 30 settembre dell’anno precedente a quello di riferimento.</w:t>
            </w:r>
          </w:p>
          <w:p w:rsidR="00F07B8A" w:rsidRPr="000778A2" w:rsidRDefault="00F07B8A" w:rsidP="00F07B8A">
            <w:pPr>
              <w:jc w:val="both"/>
              <w:rPr>
                <w:rFonts w:ascii="Bookman Old Style" w:eastAsia="Times New Roman" w:hAnsi="Bookman Old Style" w:cs="Arial"/>
                <w:i/>
                <w:lang w:eastAsia="it-IT"/>
              </w:rPr>
            </w:pPr>
          </w:p>
          <w:p w:rsidR="00F07B8A" w:rsidRDefault="00F07B8A" w:rsidP="00F07B8A">
            <w:pPr>
              <w:jc w:val="both"/>
              <w:rPr>
                <w:rFonts w:ascii="Bookman Old Style" w:eastAsia="Times New Roman" w:hAnsi="Bookman Old Style" w:cs="Arial"/>
                <w:i/>
                <w:lang w:eastAsia="it-IT"/>
              </w:rPr>
            </w:pPr>
          </w:p>
          <w:p w:rsidR="00F07B8A" w:rsidRDefault="00F07B8A" w:rsidP="00F07B8A">
            <w:pPr>
              <w:jc w:val="both"/>
              <w:rPr>
                <w:rFonts w:ascii="Bookman Old Style" w:eastAsia="Times New Roman" w:hAnsi="Bookman Old Style" w:cs="Arial"/>
                <w:i/>
                <w:lang w:eastAsia="it-IT"/>
              </w:rPr>
            </w:pPr>
          </w:p>
          <w:p w:rsidR="00E64C89" w:rsidRDefault="00E64C89" w:rsidP="00F07B8A">
            <w:pPr>
              <w:jc w:val="both"/>
              <w:rPr>
                <w:rFonts w:ascii="Bookman Old Style" w:eastAsia="Times New Roman" w:hAnsi="Bookman Old Style" w:cs="Arial"/>
                <w:i/>
                <w:lang w:eastAsia="it-IT"/>
              </w:rPr>
            </w:pPr>
          </w:p>
          <w:p w:rsidR="00E64C89" w:rsidRDefault="00E64C89" w:rsidP="00F07B8A">
            <w:pPr>
              <w:jc w:val="both"/>
              <w:rPr>
                <w:rFonts w:ascii="Bookman Old Style" w:eastAsia="Times New Roman" w:hAnsi="Bookman Old Style" w:cs="Arial"/>
                <w:i/>
                <w:lang w:eastAsia="it-IT"/>
              </w:rPr>
            </w:pPr>
          </w:p>
          <w:p w:rsidR="008A026A" w:rsidRDefault="008A026A" w:rsidP="00F07B8A">
            <w:pPr>
              <w:jc w:val="both"/>
              <w:rPr>
                <w:rFonts w:ascii="Bookman Old Style" w:eastAsia="Times New Roman" w:hAnsi="Bookman Old Style" w:cs="Arial"/>
                <w:i/>
                <w:lang w:eastAsia="it-IT"/>
              </w:rPr>
            </w:pPr>
          </w:p>
          <w:p w:rsidR="0023346F"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Per quanto riguarda i Comuni delle regioni Sicilia e Sardegna, ai quali non si applica il criterio perequativo, la </w:t>
            </w:r>
            <w:r w:rsidRPr="00412B3C">
              <w:rPr>
                <w:rFonts w:ascii="Bookman Old Style" w:eastAsia="Times New Roman" w:hAnsi="Bookman Old Style" w:cs="Arial"/>
                <w:b/>
                <w:i/>
                <w:lang w:eastAsia="it-IT"/>
              </w:rPr>
              <w:t>lettera d)</w:t>
            </w:r>
            <w:r w:rsidRPr="000778A2">
              <w:rPr>
                <w:rFonts w:ascii="Bookman Old Style" w:eastAsia="Times New Roman" w:hAnsi="Bookman Old Style" w:cs="Arial"/>
                <w:i/>
                <w:lang w:eastAsia="it-IT"/>
              </w:rPr>
              <w:t xml:space="preserve"> assegna una quota del Fondo pari a circa 464 milioni di euro, eventualmente incrementata della quota non distribuita di pertinenza delle Isole del ristoro di 80 milioni di cui alla lettera b).</w:t>
            </w:r>
          </w:p>
          <w:p w:rsidR="0023346F" w:rsidRDefault="0023346F" w:rsidP="00F07B8A">
            <w:pPr>
              <w:jc w:val="both"/>
              <w:rPr>
                <w:rFonts w:ascii="Bookman Old Style" w:eastAsia="Times New Roman" w:hAnsi="Bookman Old Style" w:cs="Arial"/>
                <w:i/>
                <w:lang w:eastAsia="it-IT"/>
              </w:rPr>
            </w:pPr>
          </w:p>
          <w:p w:rsidR="00F07B8A" w:rsidRPr="000778A2" w:rsidRDefault="0023346F" w:rsidP="0023346F">
            <w:pPr>
              <w:jc w:val="both"/>
              <w:rPr>
                <w:rFonts w:ascii="Bookman Old Style" w:hAnsi="Bookman Old Style"/>
                <w:i/>
                <w:color w:val="000000"/>
              </w:rPr>
            </w:pPr>
            <w:r w:rsidRPr="0023346F">
              <w:rPr>
                <w:rFonts w:ascii="Bookman Old Style" w:eastAsia="Times New Roman" w:hAnsi="Bookman Old Style" w:cs="Arial"/>
                <w:b/>
                <w:i/>
                <w:lang w:eastAsia="it-IT"/>
              </w:rPr>
              <w:t>Gli effetti finanziari complessivi</w:t>
            </w:r>
            <w:r>
              <w:rPr>
                <w:rFonts w:ascii="Bookman Old Style" w:eastAsia="Times New Roman" w:hAnsi="Bookman Old Style" w:cs="Arial"/>
                <w:i/>
                <w:lang w:eastAsia="it-IT"/>
              </w:rPr>
              <w:t xml:space="preserve"> delle attribuzioni indicate nel comma 449 sono invarianti rispetto alla situazione registrata nel 2016. In particolare, a fronte dell’alimentazione comunale del FSC, circa 339 mln. di euro restano trattenuti dallo Stato quale effetto finale dei tagli operati tra il 2011 e il 2015.</w:t>
            </w:r>
          </w:p>
        </w:tc>
      </w:tr>
      <w:tr w:rsidR="00F07B8A" w:rsidTr="00086B81">
        <w:trPr>
          <w:gridAfter w:val="1"/>
          <w:wAfter w:w="150" w:type="dxa"/>
        </w:trPr>
        <w:tc>
          <w:tcPr>
            <w:tcW w:w="7138" w:type="dxa"/>
          </w:tcPr>
          <w:p w:rsidR="00F07B8A" w:rsidRPr="00161157"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450</w:t>
            </w:r>
            <w:r w:rsidRPr="00E847D3">
              <w:rPr>
                <w:rFonts w:ascii="Bookman Old Style" w:eastAsia="Times New Roman" w:hAnsi="Bookman Old Style" w:cs="Arial"/>
                <w:lang w:eastAsia="it-IT"/>
              </w:rPr>
              <w:t>. Con riferimento ai comuni delle regioni a statuto ordinario, nel caso in cui l'applicazione dei criteri di riparto di cui alla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Pr>
                <w:rFonts w:ascii="Bookman Old Style" w:eastAsia="Times New Roman" w:hAnsi="Bookman Old Style" w:cs="Arial"/>
                <w:lang w:eastAsia="it-IT"/>
              </w:rPr>
              <w:t>del comma 449</w:t>
            </w:r>
            <w:r w:rsidRPr="00E847D3">
              <w:rPr>
                <w:rFonts w:ascii="Bookman Old Style" w:eastAsia="Times New Roman" w:hAnsi="Bookman Old Style" w:cs="Arial"/>
                <w:lang w:eastAsia="it-IT"/>
              </w:rPr>
              <w:t xml:space="preserve"> determini una variazione delle risorse di riferimento, tra un anno e l'altro, superiore a 8 per cento o inferiore a -8 per cento rispetto all'ammontare delle risorse storiche di riferimento, si può applicare un correttivo finalizzato a limitare le predette variazioni. Le risorse di riferimento sono definite dai gettiti dell'IMU e della TASI, entrambi valutati ad aliquota di base, e dalla dotazione netta del fondo di solidarietà comunale. Per il calcolo delle risorse storiche di riferimento la dotazione netta del fondo di solidarietà è calcolata considerando pari a zero la percentuale di applicazione della differenza tra </w:t>
            </w:r>
            <w:r w:rsidRPr="00E847D3">
              <w:rPr>
                <w:rFonts w:ascii="Bookman Old Style" w:eastAsia="Times New Roman" w:hAnsi="Bookman Old Style" w:cs="Arial"/>
                <w:lang w:eastAsia="it-IT"/>
              </w:rPr>
              <w:lastRenderedPageBreak/>
              <w:t>capacità fiscali e fabbisogni</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di cui alla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Pr>
                <w:rFonts w:ascii="Bookman Old Style" w:eastAsia="Times New Roman" w:hAnsi="Bookman Old Style" w:cs="Arial"/>
                <w:lang w:eastAsia="it-IT"/>
              </w:rPr>
              <w:t>del comma 449</w:t>
            </w:r>
            <w:r w:rsidRPr="00E847D3">
              <w:rPr>
                <w:rFonts w:ascii="Bookman Old Style" w:eastAsia="Times New Roman" w:hAnsi="Bookman Old Style" w:cs="Arial"/>
                <w:lang w:eastAsia="it-IT"/>
              </w:rPr>
              <w:t>. Ai fini di cui al primo periodo, nell'ambito del fondo di solidarietà comunale, è costituito un accantonamento alimentato dai comuni che registrano un incremento delle risorse complessive rispetto all'anno precedente superiore all'8 per cento. I predetti enti</w:t>
            </w:r>
            <w:r>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contribuiscono in modo proporzionale all'accantonamento in misura non superiore all'eccedenza di risorse rispetto alla soglia dell'8 per cento e, comunque, nel limite complessivo delle risorse necessarie per ridurre le variazioni negative dei comuni con una perdita superiore all'8 per cento. Il predetto accantonamento è ripartito proporzionalmente tra i comuni che registrano una riduzione delle risorse complessive rispetto all'anno precedente superiore all'8 per cento nei limiti delle risorse accantonate.</w:t>
            </w:r>
            <w:r w:rsidRPr="00CF63B8">
              <w:rPr>
                <w:rFonts w:ascii="Bookman Old Style" w:eastAsia="Times New Roman" w:hAnsi="Bookman Old Style" w:cs="Arial"/>
                <w:lang w:eastAsia="it-IT"/>
              </w:rPr>
              <w:t> </w:t>
            </w:r>
          </w:p>
        </w:tc>
        <w:tc>
          <w:tcPr>
            <w:tcW w:w="7139" w:type="dxa"/>
            <w:gridSpan w:val="3"/>
          </w:tcPr>
          <w:p w:rsidR="00F07B8A" w:rsidRPr="000778A2" w:rsidRDefault="00F07B8A" w:rsidP="00F07B8A">
            <w:pPr>
              <w:jc w:val="both"/>
              <w:rPr>
                <w:rFonts w:ascii="Bookman Old Style" w:hAnsi="Bookman Old Style"/>
                <w:i/>
                <w:color w:val="000000"/>
              </w:rPr>
            </w:pPr>
            <w:r>
              <w:rPr>
                <w:rFonts w:ascii="Bookman Old Style" w:hAnsi="Bookman Old Style"/>
                <w:i/>
                <w:color w:val="000000"/>
              </w:rPr>
              <w:lastRenderedPageBreak/>
              <w:t xml:space="preserve">Il </w:t>
            </w:r>
            <w:r w:rsidRPr="00412B3C">
              <w:rPr>
                <w:rFonts w:ascii="Bookman Old Style" w:hAnsi="Bookman Old Style"/>
                <w:b/>
                <w:i/>
                <w:color w:val="000000"/>
              </w:rPr>
              <w:t>comma 450</w:t>
            </w:r>
            <w:r>
              <w:rPr>
                <w:rFonts w:ascii="Bookman Old Style" w:hAnsi="Bookman Old Style"/>
                <w:b/>
                <w:i/>
                <w:color w:val="000000"/>
              </w:rPr>
              <w:t xml:space="preserve"> </w:t>
            </w:r>
            <w:r w:rsidRPr="000778A2">
              <w:rPr>
                <w:rFonts w:ascii="Bookman Old Style" w:hAnsi="Bookman Old Style"/>
                <w:i/>
                <w:color w:val="000000"/>
              </w:rPr>
              <w:t>disciplina un correttivo che dovrebbe essere finalizzato a contenere l’eccessiva variazione di risorse, rispetto a quelle storiche di riferimento, che potrebbe prodursi per effetto della perequazione.</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hAnsi="Bookman Old Style"/>
                <w:i/>
                <w:color w:val="000000"/>
              </w:rPr>
              <w:t>Il correttivo</w:t>
            </w:r>
            <w:r>
              <w:rPr>
                <w:rFonts w:ascii="Bookman Old Style" w:hAnsi="Bookman Old Style"/>
                <w:i/>
                <w:color w:val="000000"/>
              </w:rPr>
              <w:t xml:space="preserve"> </w:t>
            </w:r>
            <w:r w:rsidRPr="000778A2">
              <w:rPr>
                <w:rFonts w:ascii="Bookman Old Style" w:eastAsia="Times New Roman" w:hAnsi="Bookman Old Style" w:cs="Arial"/>
                <w:i/>
                <w:lang w:eastAsia="it-IT"/>
              </w:rPr>
              <w:t>si applica nel caso in cui si determini una variazione delle risorse di riferimento tra un anno e l’altro, in aumento o diminuzione,</w:t>
            </w:r>
            <w:r>
              <w:rPr>
                <w:rFonts w:ascii="Bookman Old Style" w:eastAsia="Times New Roman" w:hAnsi="Bookman Old Style" w:cs="Arial"/>
                <w:i/>
                <w:lang w:eastAsia="it-IT"/>
              </w:rPr>
              <w:t xml:space="preserve"> </w:t>
            </w:r>
            <w:r w:rsidRPr="000778A2">
              <w:rPr>
                <w:rFonts w:ascii="Bookman Old Style" w:eastAsia="Times New Roman" w:hAnsi="Bookman Old Style" w:cs="Arial"/>
                <w:i/>
                <w:lang w:eastAsia="it-IT"/>
              </w:rPr>
              <w:t>superiore all’8 per cento. Le risorse storiche di riferimento sono definite dai gettiti dell'IMU e della TASI, entrambi valutati ad aliquota di base, e dalla dotazione netta del fondo di solidarietà comunale, calcolato considerando pari a zero la percentuale di applicazione della differenza tra capacità fiscali e fabbisogni standard.</w:t>
            </w:r>
          </w:p>
          <w:p w:rsidR="00F07B8A" w:rsidRPr="000778A2" w:rsidRDefault="00F07B8A" w:rsidP="00F07B8A">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lastRenderedPageBreak/>
              <w:t>A tal fine, è previsto un accantonamento alimentato dai Comuni che registrano un incremento di risorse superiore all’8%, che viene ripartito proporzionalmente tra i Comuni che registrano riduzione delle risorse superiore all’8%, ferma restando la dotazione complessiva delle risorse accantonate.</w:t>
            </w:r>
          </w:p>
          <w:p w:rsidR="00F07B8A" w:rsidRDefault="00F07B8A" w:rsidP="00613EBE">
            <w:pPr>
              <w:jc w:val="both"/>
              <w:rPr>
                <w:rFonts w:ascii="Bookman Old Style" w:eastAsia="Times New Roman" w:hAnsi="Bookman Old Style" w:cs="Arial"/>
                <w:i/>
                <w:lang w:eastAsia="it-IT"/>
              </w:rPr>
            </w:pPr>
            <w:r w:rsidRPr="000778A2">
              <w:rPr>
                <w:rFonts w:ascii="Bookman Old Style" w:eastAsia="Times New Roman" w:hAnsi="Bookman Old Style" w:cs="Arial"/>
                <w:i/>
                <w:lang w:eastAsia="it-IT"/>
              </w:rPr>
              <w:t xml:space="preserve">Il dispositivo in questione desta forte preoccupazione ed è </w:t>
            </w:r>
            <w:r w:rsidR="00613EBE">
              <w:rPr>
                <w:rFonts w:ascii="Bookman Old Style" w:eastAsia="Times New Roman" w:hAnsi="Bookman Old Style" w:cs="Arial"/>
                <w:i/>
                <w:lang w:eastAsia="it-IT"/>
              </w:rPr>
              <w:t xml:space="preserve">necessaria </w:t>
            </w:r>
            <w:r w:rsidRPr="000778A2">
              <w:rPr>
                <w:rFonts w:ascii="Bookman Old Style" w:eastAsia="Times New Roman" w:hAnsi="Bookman Old Style" w:cs="Arial"/>
                <w:i/>
                <w:lang w:eastAsia="it-IT"/>
              </w:rPr>
              <w:t xml:space="preserve"> la sua modifica nel corso dell’iter parlamentare del ddl Bilancio. In primo luogo, infatti, con la misura del +/- 8% non si verificherebbe alcun effetto di mitigazione delle variazioni perequative effettive, che dalle simulazioni effettuate risulterebbero tutte di scostamento inferiore; in secondo luogo verrebbe così annullata la previsione introdotta con la legge di stabilità 2016, in base alla quale è stato applicato un “correttivo statistico” efficace e adattato alle variazioni in questione. Le nuove regole, inoltre, non sarebbero sostenute da alcuna valutazione congiunta degli effetti a regime della perequazione in corso, come il Governo si era impegnato a fare con l’accordo in Conferenza Stato-Città del 24 marzo 2016. Questa esigenza appare ancor più rilevante alla luce della recente revisione del calcolo dei fabbisogni con effetto dal 2017.</w:t>
            </w:r>
          </w:p>
          <w:p w:rsidR="00613EBE" w:rsidRPr="000778A2" w:rsidRDefault="00613EBE" w:rsidP="00613EBE">
            <w:pPr>
              <w:jc w:val="both"/>
              <w:rPr>
                <w:rFonts w:ascii="Bookman Old Style" w:hAnsi="Bookman Old Style"/>
                <w:i/>
                <w:color w:val="000000"/>
              </w:rPr>
            </w:pPr>
            <w:r>
              <w:rPr>
                <w:rFonts w:ascii="Bookman Old Style" w:eastAsia="Times New Roman" w:hAnsi="Bookman Old Style" w:cs="Arial"/>
                <w:i/>
                <w:lang w:eastAsia="it-IT"/>
              </w:rPr>
              <w:t>È altresì evidente l’urgenza della modifica, poiché la forte accelerazione data nel corso del 2016 a tutte le attività che incidono sulla formazione del FSC 2017 (ristori, fabbisogni e capacità fiscali standard) rischierebbe di risultare vana, con particolare riferimento all’obiettivo di anticipare i termini per la deliberazione dei bilanci comunali.</w:t>
            </w: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451</w:t>
            </w:r>
            <w:r w:rsidRPr="00E847D3">
              <w:rPr>
                <w:rFonts w:ascii="Bookman Old Style" w:eastAsia="Times New Roman" w:hAnsi="Bookman Old Style" w:cs="Arial"/>
                <w:shd w:val="clear" w:color="auto" w:fill="FFFFFF"/>
                <w:lang w:eastAsia="it-IT"/>
              </w:rPr>
              <w:t xml:space="preserve">. Con decreto del Presidente del Consiglio dei ministri, su proposta del Ministro dell'economia e delle finanze, di concerto con il Ministro dell'interno, previo accordo da sancire in sede di Conferenza Stato-città ed autonomie locali entro il 15 ottobre dell'anno precedente a quello di riferimento e da emanare entro il 31 ottobre dell'anno precedente a quello di riferimento, sono stabiliti i criteri di riparto del Fondo di solidarietà comunale di cui al comma </w:t>
            </w:r>
            <w:r>
              <w:rPr>
                <w:rFonts w:ascii="Bookman Old Style" w:eastAsia="Times New Roman" w:hAnsi="Bookman Old Style" w:cs="Arial"/>
                <w:shd w:val="clear" w:color="auto" w:fill="FFFFFF"/>
                <w:lang w:eastAsia="it-IT"/>
              </w:rPr>
              <w:t>449</w:t>
            </w:r>
            <w:r w:rsidRPr="00E847D3">
              <w:rPr>
                <w:rFonts w:ascii="Bookman Old Style" w:eastAsia="Times New Roman" w:hAnsi="Bookman Old Style" w:cs="Arial"/>
                <w:shd w:val="clear" w:color="auto" w:fill="FFFFFF"/>
                <w:lang w:eastAsia="it-IT"/>
              </w:rPr>
              <w:t xml:space="preserve">. In caso di mancato accordo, il decreto del Presidente del Consiglio dei ministri di cui al periodo precedente è, comunque, emanato entro il 15 novembre dell'anno </w:t>
            </w:r>
            <w:r w:rsidRPr="00E847D3">
              <w:rPr>
                <w:rFonts w:ascii="Bookman Old Style" w:eastAsia="Times New Roman" w:hAnsi="Bookman Old Style" w:cs="Arial"/>
                <w:shd w:val="clear" w:color="auto" w:fill="FFFFFF"/>
                <w:lang w:eastAsia="it-IT"/>
              </w:rPr>
              <w:lastRenderedPageBreak/>
              <w:t>precedente a quello di riferimento.</w:t>
            </w:r>
            <w:r w:rsidRPr="00CF63B8">
              <w:rPr>
                <w:rFonts w:ascii="Bookman Old Style" w:eastAsia="Times New Roman" w:hAnsi="Bookman Old Style" w:cs="Arial"/>
                <w:lang w:eastAsia="it-IT"/>
              </w:rPr>
              <w:t> </w:t>
            </w:r>
          </w:p>
        </w:tc>
        <w:tc>
          <w:tcPr>
            <w:tcW w:w="7139" w:type="dxa"/>
            <w:gridSpan w:val="3"/>
          </w:tcPr>
          <w:p w:rsidR="00F07B8A" w:rsidRPr="000778A2" w:rsidRDefault="00F07B8A" w:rsidP="00F07B8A">
            <w:pPr>
              <w:jc w:val="both"/>
              <w:rPr>
                <w:rFonts w:ascii="Bookman Old Style" w:hAnsi="Bookman Old Style"/>
                <w:i/>
                <w:color w:val="000000"/>
              </w:rPr>
            </w:pPr>
            <w:r>
              <w:rPr>
                <w:rFonts w:ascii="Bookman Old Style" w:hAnsi="Bookman Old Style"/>
                <w:i/>
                <w:color w:val="000000"/>
              </w:rPr>
              <w:lastRenderedPageBreak/>
              <w:t xml:space="preserve">Il </w:t>
            </w:r>
            <w:r w:rsidRPr="00412B3C">
              <w:rPr>
                <w:rFonts w:ascii="Bookman Old Style" w:hAnsi="Bookman Old Style"/>
                <w:b/>
                <w:i/>
                <w:color w:val="000000"/>
              </w:rPr>
              <w:t>comma 451</w:t>
            </w:r>
            <w:r w:rsidRPr="000778A2">
              <w:rPr>
                <w:rFonts w:ascii="Bookman Old Style" w:hAnsi="Bookman Old Style"/>
                <w:i/>
                <w:color w:val="000000"/>
              </w:rPr>
              <w:t>, anticipa al 31 ottobre dell’anno precedente (rispetto al termine attuale del 30 novembre) il termine di emanazione del DPCM di riparto del fondo previo accordo in conferenza Stato città da sancire entro il 15 ottobre.</w:t>
            </w:r>
          </w:p>
          <w:p w:rsidR="00F07B8A" w:rsidRPr="000778A2" w:rsidRDefault="00F07B8A" w:rsidP="00F07B8A">
            <w:pPr>
              <w:jc w:val="both"/>
              <w:rPr>
                <w:rFonts w:ascii="Bookman Old Style" w:hAnsi="Bookman Old Style"/>
                <w:i/>
                <w:color w:val="000000"/>
              </w:rPr>
            </w:pPr>
            <w:r w:rsidRPr="000778A2">
              <w:rPr>
                <w:rFonts w:ascii="Bookman Old Style" w:eastAsia="Times New Roman" w:hAnsi="Bookman Old Style" w:cs="Arial"/>
                <w:i/>
                <w:shd w:val="clear" w:color="auto" w:fill="FFFFFF"/>
                <w:lang w:eastAsia="it-IT"/>
              </w:rPr>
              <w:t>In caso di mancato accordo il DPCM è, comunque, emanato entro il 15 novembre dell'anno precedente a quello di riferimento.</w:t>
            </w:r>
            <w:r w:rsidRPr="000778A2">
              <w:rPr>
                <w:rFonts w:ascii="Bookman Old Style" w:eastAsia="Times New Roman" w:hAnsi="Bookman Old Style" w:cs="Arial"/>
                <w:i/>
                <w:lang w:eastAsia="it-IT"/>
              </w:rPr>
              <w:t> </w:t>
            </w:r>
          </w:p>
        </w:tc>
      </w:tr>
      <w:tr w:rsidR="00F07B8A" w:rsidTr="00086B81">
        <w:trPr>
          <w:gridAfter w:val="1"/>
          <w:wAfter w:w="150" w:type="dxa"/>
        </w:trPr>
        <w:tc>
          <w:tcPr>
            <w:tcW w:w="7138" w:type="dxa"/>
          </w:tcPr>
          <w:p w:rsidR="00F07B8A" w:rsidRPr="00E847D3" w:rsidRDefault="00F07B8A" w:rsidP="00F07B8A">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452</w:t>
            </w:r>
            <w:r w:rsidRPr="00E847D3">
              <w:rPr>
                <w:rFonts w:ascii="Bookman Old Style" w:eastAsia="Times New Roman" w:hAnsi="Bookman Old Style" w:cs="Arial"/>
                <w:shd w:val="clear" w:color="auto" w:fill="FFFFFF"/>
                <w:lang w:eastAsia="it-IT"/>
              </w:rPr>
              <w:t>. Con il decreto del Presidente del Consigli</w:t>
            </w:r>
            <w:r>
              <w:rPr>
                <w:rFonts w:ascii="Bookman Old Style" w:eastAsia="Times New Roman" w:hAnsi="Bookman Old Style" w:cs="Arial"/>
                <w:shd w:val="clear" w:color="auto" w:fill="FFFFFF"/>
                <w:lang w:eastAsia="it-IT"/>
              </w:rPr>
              <w:t>o dei ministri di cui al comma 451</w:t>
            </w:r>
            <w:r w:rsidRPr="00E847D3">
              <w:rPr>
                <w:rFonts w:ascii="Bookman Old Style" w:eastAsia="Times New Roman" w:hAnsi="Bookman Old Style" w:cs="Arial"/>
                <w:shd w:val="clear" w:color="auto" w:fill="FFFFFF"/>
                <w:lang w:eastAsia="it-IT"/>
              </w:rPr>
              <w:t>, può essere previsto un accantonamento sul Fondo di solidarietà comunale nell'importo massimo di 15 milioni di euro, da destinare per eventuali conguagli a singoli comuni derivanti da rettifiche dei valori utilizzati ai fini del riparto del fondo. Le rettifiche decorrono dall'anno di riferimento del Fondo di solidarietà comunale cui si riferiscono.</w:t>
            </w:r>
            <w:r w:rsidRPr="00CF63B8">
              <w:rPr>
                <w:rFonts w:ascii="Bookman Old Style" w:eastAsia="Times New Roman" w:hAnsi="Bookman Old Style" w:cs="Arial"/>
                <w:lang w:eastAsia="it-IT"/>
              </w:rPr>
              <w:t> </w:t>
            </w:r>
          </w:p>
        </w:tc>
        <w:tc>
          <w:tcPr>
            <w:tcW w:w="7139" w:type="dxa"/>
            <w:gridSpan w:val="3"/>
          </w:tcPr>
          <w:p w:rsidR="00F07B8A" w:rsidRPr="000778A2" w:rsidRDefault="00F07B8A" w:rsidP="0023346F">
            <w:pPr>
              <w:jc w:val="both"/>
              <w:rPr>
                <w:rFonts w:ascii="Bookman Old Style" w:hAnsi="Bookman Old Style"/>
                <w:i/>
                <w:color w:val="000000"/>
              </w:rPr>
            </w:pPr>
            <w:r>
              <w:rPr>
                <w:rFonts w:ascii="Bookman Old Style" w:hAnsi="Bookman Old Style"/>
                <w:i/>
                <w:color w:val="000000"/>
              </w:rPr>
              <w:t xml:space="preserve">Il </w:t>
            </w:r>
            <w:r w:rsidRPr="00412B3C">
              <w:rPr>
                <w:rFonts w:ascii="Bookman Old Style" w:hAnsi="Bookman Old Style"/>
                <w:b/>
                <w:i/>
                <w:color w:val="000000"/>
              </w:rPr>
              <w:t>comma 452</w:t>
            </w:r>
            <w:r w:rsidRPr="000778A2">
              <w:rPr>
                <w:rFonts w:ascii="Bookman Old Style" w:hAnsi="Bookman Old Style"/>
                <w:i/>
                <w:color w:val="000000"/>
              </w:rPr>
              <w:t xml:space="preserve"> prevede che a regime,</w:t>
            </w:r>
            <w:r>
              <w:rPr>
                <w:rFonts w:ascii="Bookman Old Style" w:hAnsi="Bookman Old Style"/>
                <w:i/>
                <w:color w:val="000000"/>
              </w:rPr>
              <w:t xml:space="preserve"> </w:t>
            </w:r>
            <w:r w:rsidRPr="000778A2">
              <w:rPr>
                <w:rFonts w:ascii="Bookman Old Style" w:hAnsi="Bookman Old Style"/>
                <w:i/>
                <w:color w:val="000000"/>
              </w:rPr>
              <w:t xml:space="preserve">con lo stesso DPCM di cui al comma 7 è possibile prevedere un accantonamento a valere sul FSC, fino ad un massimo di 15 milioni di euro, finalizzato ad eventuali conguagli o rettifiche delle stime IMU e Tasi dei singoli Comuni, utilizzati ai fini del riparto del Fondo. Il comma 8 specifica, inoltre, che </w:t>
            </w:r>
            <w:r w:rsidRPr="000778A2">
              <w:rPr>
                <w:rFonts w:ascii="Bookman Old Style" w:eastAsia="Times New Roman" w:hAnsi="Bookman Old Style" w:cs="Arial"/>
                <w:i/>
                <w:shd w:val="clear" w:color="auto" w:fill="FFFFFF"/>
                <w:lang w:eastAsia="it-IT"/>
              </w:rPr>
              <w:t>le rettifiche decorrono dall'anno di riferimento del Fondo di solidarietà comunale cui si riferiscono.</w:t>
            </w:r>
            <w:r w:rsidRPr="000778A2">
              <w:rPr>
                <w:rFonts w:ascii="Bookman Old Style" w:eastAsia="Times New Roman" w:hAnsi="Bookman Old Style" w:cs="Arial"/>
                <w:i/>
                <w:lang w:eastAsia="it-IT"/>
              </w:rPr>
              <w:t> </w:t>
            </w:r>
            <w:r w:rsidR="0023346F">
              <w:rPr>
                <w:rFonts w:ascii="Bookman Old Style" w:eastAsia="Times New Roman" w:hAnsi="Bookman Old Style" w:cs="Arial"/>
                <w:i/>
                <w:lang w:eastAsia="it-IT"/>
              </w:rPr>
              <w:t>La norma legifica la prassi fin qui adottata in sede di formulazione del DPCM di riparto del FSC.</w:t>
            </w:r>
          </w:p>
        </w:tc>
      </w:tr>
      <w:tr w:rsidR="00F07B8A" w:rsidTr="00086B81">
        <w:trPr>
          <w:gridAfter w:val="1"/>
          <w:wAfter w:w="150" w:type="dxa"/>
        </w:trPr>
        <w:tc>
          <w:tcPr>
            <w:tcW w:w="7138" w:type="dxa"/>
          </w:tcPr>
          <w:p w:rsidR="00F07B8A" w:rsidRPr="00412B3C" w:rsidRDefault="00F07B8A" w:rsidP="00F07B8A">
            <w:pPr>
              <w:shd w:val="clear" w:color="auto" w:fill="FFFFFF"/>
              <w:jc w:val="both"/>
              <w:rPr>
                <w:rFonts w:ascii="Bookman Old Style" w:eastAsia="Times New Roman" w:hAnsi="Bookman Old Style" w:cs="Arial"/>
                <w:b/>
                <w:shd w:val="clear" w:color="auto" w:fill="FFFFFF"/>
                <w:lang w:eastAsia="it-IT"/>
              </w:rPr>
            </w:pPr>
            <w:r w:rsidRPr="00412B3C">
              <w:rPr>
                <w:rFonts w:ascii="Bookman Old Style" w:eastAsia="Times New Roman" w:hAnsi="Bookman Old Style" w:cs="Arial"/>
                <w:b/>
                <w:shd w:val="clear" w:color="auto" w:fill="FFFFFF"/>
                <w:lang w:eastAsia="it-IT"/>
              </w:rPr>
              <w:t>453. L’articolo 14, comma 7, del decreto legislativo 23 maggio 2000, n. 164, si interpreta nel senso che il gestore uscente resta obbligato al pagamento del canone di concessione previsto dal contratto. Le risorse derivanti d</w:t>
            </w:r>
            <w:r>
              <w:rPr>
                <w:rFonts w:ascii="Bookman Old Style" w:eastAsia="Times New Roman" w:hAnsi="Bookman Old Style" w:cs="Arial"/>
                <w:b/>
                <w:shd w:val="clear" w:color="auto" w:fill="FFFFFF"/>
                <w:lang w:eastAsia="it-IT"/>
              </w:rPr>
              <w:t xml:space="preserve">all’applicazione della presente </w:t>
            </w:r>
            <w:r w:rsidRPr="00412B3C">
              <w:rPr>
                <w:rFonts w:ascii="Bookman Old Style" w:eastAsia="Times New Roman" w:hAnsi="Bookman Old Style" w:cs="Arial"/>
                <w:b/>
                <w:shd w:val="clear" w:color="auto" w:fill="FFFFFF"/>
                <w:lang w:eastAsia="it-IT"/>
              </w:rPr>
              <w:t>disposizione concorrono al raggiungimento degli obiettivi di finanza pubblica da parte degli enti locali.</w:t>
            </w:r>
          </w:p>
        </w:tc>
        <w:tc>
          <w:tcPr>
            <w:tcW w:w="7139" w:type="dxa"/>
            <w:gridSpan w:val="3"/>
            <w:shd w:val="clear" w:color="auto" w:fill="auto"/>
          </w:tcPr>
          <w:p w:rsidR="00F07B8A" w:rsidRPr="001A11A5" w:rsidRDefault="00F07B8A" w:rsidP="00F07B8A">
            <w:pPr>
              <w:jc w:val="both"/>
              <w:rPr>
                <w:rFonts w:ascii="Bookman Old Style" w:hAnsi="Bookman Old Style"/>
                <w:i/>
                <w:color w:val="000000"/>
              </w:rPr>
            </w:pPr>
            <w:r w:rsidRPr="001A11A5">
              <w:rPr>
                <w:rFonts w:ascii="Bookman Old Style" w:hAnsi="Bookman Old Style"/>
                <w:i/>
                <w:color w:val="000000"/>
              </w:rPr>
              <w:t xml:space="preserve">Il </w:t>
            </w:r>
            <w:r w:rsidRPr="00E64C89">
              <w:rPr>
                <w:rFonts w:ascii="Bookman Old Style" w:hAnsi="Bookman Old Style"/>
                <w:b/>
                <w:i/>
                <w:color w:val="000000"/>
              </w:rPr>
              <w:t>comma 453</w:t>
            </w:r>
            <w:r w:rsidRPr="001A11A5">
              <w:rPr>
                <w:rFonts w:ascii="Bookman Old Style" w:hAnsi="Bookman Old Style"/>
                <w:i/>
                <w:color w:val="000000"/>
              </w:rPr>
              <w:t xml:space="preserve"> interviene </w:t>
            </w:r>
            <w:r w:rsidRPr="001A11A5">
              <w:rPr>
                <w:rFonts w:ascii="Bookman Old Style" w:hAnsi="Bookman Old Style"/>
                <w:i/>
              </w:rPr>
              <w:t xml:space="preserve">sulla disciplina relativa alle gare d’ambito del servizio di distribuzione del gas naturale, ed, in particolare, sulla disposizione che prevede che il gestore uscente resta comunque obbligato a proseguire la gestione del servizio, limitatamente all'ordinaria amministrazione, fino alla data di decorrenza del nuovo affidamento.  Al riguardo il comma 453 reca interpretazione autentica dell’articolo 14, comma 7 del D.Lgs. n. 164/2000 specificando che il </w:t>
            </w:r>
            <w:r w:rsidRPr="001A11A5">
              <w:rPr>
                <w:rFonts w:ascii="Bookman Old Style" w:hAnsi="Bookman Old Style"/>
                <w:b/>
                <w:bCs/>
                <w:i/>
              </w:rPr>
              <w:t xml:space="preserve">gestore uscente nel periodo transitorio </w:t>
            </w:r>
            <w:r w:rsidRPr="001A11A5">
              <w:rPr>
                <w:rFonts w:ascii="Bookman Old Style" w:hAnsi="Bookman Old Style"/>
                <w:i/>
              </w:rPr>
              <w:t xml:space="preserve">è comunque </w:t>
            </w:r>
            <w:r w:rsidRPr="001A11A5">
              <w:rPr>
                <w:rFonts w:ascii="Bookman Old Style" w:hAnsi="Bookman Old Style"/>
                <w:b/>
                <w:bCs/>
                <w:i/>
              </w:rPr>
              <w:t xml:space="preserve">obbligato al pagamento del canone di concessione </w:t>
            </w:r>
            <w:r w:rsidRPr="001A11A5">
              <w:rPr>
                <w:rFonts w:ascii="Bookman Old Style" w:hAnsi="Bookman Old Style"/>
                <w:i/>
              </w:rPr>
              <w:t xml:space="preserve">previsto dal contratto. E’ chiarito, inoltre, che le risorse derivanti dall’applicazione della disposizione in esame concorrono al raggiungimento degli obiettivi di finanza pubblica da parte degli enti locali. </w:t>
            </w:r>
          </w:p>
          <w:p w:rsidR="00F07B8A" w:rsidRPr="001A11A5" w:rsidRDefault="00F07B8A" w:rsidP="00F07B8A">
            <w:pPr>
              <w:jc w:val="both"/>
              <w:rPr>
                <w:rFonts w:ascii="Bookman Old Style" w:hAnsi="Bookman Old Style"/>
                <w:i/>
                <w:color w:val="000000"/>
              </w:rPr>
            </w:pPr>
            <w:r w:rsidRPr="001A11A5">
              <w:rPr>
                <w:rFonts w:ascii="Bookman Old Style" w:hAnsi="Bookman Old Style"/>
                <w:i/>
                <w:color w:val="000000"/>
              </w:rPr>
              <w:t xml:space="preserve">La nuova previsione normativa traduce così </w:t>
            </w:r>
            <w:r w:rsidRPr="001A11A5">
              <w:rPr>
                <w:rFonts w:ascii="Bookman Old Style" w:hAnsi="Bookman Old Style"/>
                <w:i/>
              </w:rPr>
              <w:t xml:space="preserve">in disposizione di rango primario l’interpretazione dell’articolo 14, comma 7 del D.Lgs. n. 164/2000 già operata dall’Autorità per l’energia elettrica il gas ed il sistema idrico, in data 19 maggio 2016. </w:t>
            </w:r>
          </w:p>
        </w:tc>
      </w:tr>
      <w:tr w:rsidR="00F07B8A" w:rsidTr="00086B81">
        <w:trPr>
          <w:gridAfter w:val="1"/>
          <w:wAfter w:w="150" w:type="dxa"/>
        </w:trPr>
        <w:tc>
          <w:tcPr>
            <w:tcW w:w="7138" w:type="dxa"/>
          </w:tcPr>
          <w:p w:rsidR="00F07B8A" w:rsidRPr="001A11A5" w:rsidRDefault="00F07B8A" w:rsidP="00F07B8A">
            <w:pPr>
              <w:shd w:val="clear" w:color="auto" w:fill="FFFFFF"/>
              <w:jc w:val="both"/>
              <w:rPr>
                <w:rFonts w:ascii="Bookman Old Style" w:eastAsia="Times New Roman" w:hAnsi="Bookman Old Style" w:cs="Arial"/>
                <w:shd w:val="clear" w:color="auto" w:fill="FFFFFF"/>
                <w:lang w:eastAsia="it-IT"/>
              </w:rPr>
            </w:pPr>
            <w:r w:rsidRPr="001A11A5">
              <w:rPr>
                <w:rFonts w:ascii="Bookman Old Style" w:eastAsia="Times New Roman" w:hAnsi="Bookman Old Style" w:cs="Arial"/>
                <w:shd w:val="clear" w:color="auto" w:fill="FFFFFF"/>
                <w:lang w:eastAsia="it-IT"/>
              </w:rPr>
              <w:t>454. Il termine per la deliberazione del bilancio annuale di previsione degli enti locali per l'esercizio 2017, di cui all'articolo 151 del testo unico delle leggi sull'ordinamento degli enti locali, di cui al</w:t>
            </w:r>
            <w:r w:rsidRPr="001A11A5">
              <w:rPr>
                <w:rFonts w:ascii="Bookman Old Style" w:eastAsia="Times New Roman" w:hAnsi="Bookman Old Style" w:cs="Arial"/>
                <w:lang w:eastAsia="it-IT"/>
              </w:rPr>
              <w:t> </w:t>
            </w:r>
            <w:hyperlink r:id="rId48" w:tgtFrame="rifNormativi" w:history="1">
              <w:r w:rsidRPr="001A11A5">
                <w:rPr>
                  <w:rFonts w:ascii="Bookman Old Style" w:eastAsia="Times New Roman" w:hAnsi="Bookman Old Style" w:cs="Arial"/>
                  <w:lang w:eastAsia="it-IT"/>
                </w:rPr>
                <w:t>decreto legislativo 18 agosto 2000, n. 267</w:t>
              </w:r>
            </w:hyperlink>
            <w:r w:rsidRPr="001A11A5">
              <w:rPr>
                <w:rFonts w:ascii="Bookman Old Style" w:eastAsia="Times New Roman" w:hAnsi="Bookman Old Style" w:cs="Arial"/>
                <w:shd w:val="clear" w:color="auto" w:fill="FFFFFF"/>
                <w:lang w:eastAsia="it-IT"/>
              </w:rPr>
              <w:t>, è differito al 28 febbraio 2017.</w:t>
            </w:r>
            <w:r w:rsidRPr="001A11A5">
              <w:rPr>
                <w:rFonts w:ascii="Bookman Old Style" w:eastAsia="Times New Roman" w:hAnsi="Bookman Old Style" w:cs="Arial"/>
                <w:lang w:eastAsia="it-IT"/>
              </w:rPr>
              <w:t> </w:t>
            </w:r>
          </w:p>
        </w:tc>
        <w:tc>
          <w:tcPr>
            <w:tcW w:w="7139" w:type="dxa"/>
            <w:gridSpan w:val="3"/>
          </w:tcPr>
          <w:p w:rsidR="00F07B8A" w:rsidRPr="00412B3C" w:rsidRDefault="00F07B8A" w:rsidP="00E64C89">
            <w:pPr>
              <w:jc w:val="both"/>
              <w:rPr>
                <w:rFonts w:ascii="Bookman Old Style" w:eastAsia="Times New Roman" w:hAnsi="Bookman Old Style" w:cs="Arial"/>
                <w:i/>
                <w:shd w:val="clear" w:color="auto" w:fill="FFFFFF"/>
                <w:lang w:eastAsia="it-IT"/>
              </w:rPr>
            </w:pPr>
            <w:r w:rsidRPr="001A11A5">
              <w:rPr>
                <w:rFonts w:ascii="Bookman Old Style" w:hAnsi="Bookman Old Style"/>
                <w:i/>
                <w:color w:val="000000"/>
              </w:rPr>
              <w:t xml:space="preserve">Il </w:t>
            </w:r>
            <w:r w:rsidRPr="001A11A5">
              <w:rPr>
                <w:rFonts w:ascii="Bookman Old Style" w:hAnsi="Bookman Old Style"/>
                <w:b/>
                <w:i/>
                <w:color w:val="000000"/>
              </w:rPr>
              <w:t>comma 454</w:t>
            </w:r>
            <w:r w:rsidRPr="001A11A5">
              <w:rPr>
                <w:rFonts w:ascii="Bookman Old Style" w:hAnsi="Bookman Old Style"/>
                <w:i/>
                <w:color w:val="000000"/>
              </w:rPr>
              <w:t xml:space="preserve"> fissa, per il 2017, </w:t>
            </w:r>
            <w:r w:rsidRPr="001A11A5">
              <w:rPr>
                <w:rFonts w:ascii="Bookman Old Style" w:eastAsia="Times New Roman" w:hAnsi="Bookman Old Style" w:cs="Arial"/>
                <w:i/>
                <w:shd w:val="clear" w:color="auto" w:fill="FFFFFF"/>
                <w:lang w:eastAsia="it-IT"/>
              </w:rPr>
              <w:t>il termine per la deliberazione del bilancio annuale di previsione dei Comuni al 28 febbraio 2017.</w:t>
            </w:r>
            <w:r w:rsidR="00E64C89">
              <w:rPr>
                <w:rFonts w:ascii="Bookman Old Style" w:eastAsia="Times New Roman" w:hAnsi="Bookman Old Style" w:cs="Arial"/>
                <w:i/>
                <w:shd w:val="clear" w:color="auto" w:fill="FFFFFF"/>
                <w:lang w:eastAsia="it-IT"/>
              </w:rPr>
              <w:t xml:space="preserve"> </w:t>
            </w:r>
            <w:r w:rsidRPr="001A11A5">
              <w:rPr>
                <w:rFonts w:ascii="Bookman Old Style" w:eastAsia="Times New Roman" w:hAnsi="Bookman Old Style" w:cs="Arial"/>
                <w:i/>
                <w:shd w:val="clear" w:color="auto" w:fill="FFFFFF"/>
                <w:lang w:eastAsia="it-IT"/>
              </w:rPr>
              <w:t xml:space="preserve">Si deve ricordare che il termine per la deliberazione del bilancio di previsione è ordinariamente fissato dal TUEL (d.lgs 267/2000) al 31 dicembre di ogni anno. Tale articolo prevede anche la possibilità di differire tale termine con decreto del Ministero dell’Interno “sentita” la Conferenza Stato-città ed autonomie locali. Riportare, quindi, in una norma di rango primario il termine per l’approvazione dei bilanci costituisce un </w:t>
            </w:r>
            <w:r w:rsidRPr="001A11A5">
              <w:rPr>
                <w:rFonts w:ascii="Bookman Old Style" w:eastAsia="Times New Roman" w:hAnsi="Bookman Old Style" w:cs="Arial"/>
                <w:i/>
                <w:shd w:val="clear" w:color="auto" w:fill="FFFFFF"/>
                <w:lang w:eastAsia="it-IT"/>
              </w:rPr>
              <w:lastRenderedPageBreak/>
              <w:t>intervento legislativo superfluo che elimina gli spazi di concertazione istituzionale circa la possibilità di differire tale termine in presenza di motivate esigenze.</w:t>
            </w:r>
          </w:p>
        </w:tc>
      </w:tr>
      <w:tr w:rsidR="00F07B8A" w:rsidTr="00086B81">
        <w:trPr>
          <w:gridAfter w:val="1"/>
          <w:wAfter w:w="150" w:type="dxa"/>
        </w:trPr>
        <w:tc>
          <w:tcPr>
            <w:tcW w:w="7138" w:type="dxa"/>
          </w:tcPr>
          <w:p w:rsidR="00F07B8A" w:rsidRPr="00613EBE" w:rsidRDefault="00F07B8A" w:rsidP="00F07B8A">
            <w:pPr>
              <w:shd w:val="clear" w:color="auto" w:fill="FFFFFF"/>
              <w:jc w:val="both"/>
              <w:rPr>
                <w:rFonts w:ascii="Bookman Old Style" w:eastAsia="Times New Roman" w:hAnsi="Bookman Old Style" w:cs="Arial"/>
                <w:b/>
                <w:shd w:val="clear" w:color="auto" w:fill="FFFFFF"/>
                <w:lang w:eastAsia="it-IT"/>
              </w:rPr>
            </w:pPr>
            <w:r w:rsidRPr="00613EBE">
              <w:rPr>
                <w:rFonts w:ascii="Bookman Old Style" w:eastAsia="Times New Roman" w:hAnsi="Bookman Old Style" w:cs="Arial"/>
                <w:b/>
                <w:shd w:val="clear" w:color="auto" w:fill="FFFFFF"/>
                <w:lang w:eastAsia="it-IT"/>
              </w:rPr>
              <w:lastRenderedPageBreak/>
              <w:t>455. Per l’esercizio finanziario 2017, il termine per la deliberazione della nota di aggiornamento del Documento unico di programmazione degli enti locali, di cui all’articolo 170 del testo unico delle leggi sull’ordinamento degli enti locali, di cui al decreto legislativo 18 agosto 2000, n. 267, è differito al 31 dicembre 2016.</w:t>
            </w:r>
          </w:p>
        </w:tc>
        <w:tc>
          <w:tcPr>
            <w:tcW w:w="7139" w:type="dxa"/>
            <w:gridSpan w:val="3"/>
          </w:tcPr>
          <w:p w:rsidR="0023346F" w:rsidRPr="00613EBE" w:rsidRDefault="00F07B8A" w:rsidP="00F07B8A">
            <w:pPr>
              <w:jc w:val="both"/>
              <w:rPr>
                <w:rFonts w:ascii="Bookman Old Style" w:hAnsi="Bookman Old Style"/>
              </w:rPr>
            </w:pPr>
            <w:r w:rsidRPr="00613EBE">
              <w:rPr>
                <w:rFonts w:ascii="Bookman Old Style" w:hAnsi="Bookman Old Style"/>
                <w:b/>
                <w:i/>
                <w:color w:val="000000"/>
              </w:rPr>
              <w:t>Il comma 455</w:t>
            </w:r>
            <w:r w:rsidRPr="00613EBE">
              <w:rPr>
                <w:rFonts w:ascii="Bookman Old Style" w:hAnsi="Bookman Old Style"/>
                <w:i/>
                <w:color w:val="000000"/>
              </w:rPr>
              <w:t xml:space="preserve"> </w:t>
            </w:r>
            <w:r w:rsidRPr="00613EBE">
              <w:rPr>
                <w:rFonts w:ascii="Bookman Old Style" w:hAnsi="Bookman Old Style"/>
                <w:b/>
                <w:bCs/>
                <w:i/>
              </w:rPr>
              <w:t xml:space="preserve">differisce </w:t>
            </w:r>
            <w:r w:rsidRPr="00613EBE">
              <w:rPr>
                <w:rFonts w:ascii="Bookman Old Style" w:hAnsi="Bookman Old Style"/>
                <w:i/>
              </w:rPr>
              <w:t xml:space="preserve">al </w:t>
            </w:r>
            <w:r w:rsidRPr="00613EBE">
              <w:rPr>
                <w:rFonts w:ascii="Bookman Old Style" w:hAnsi="Bookman Old Style"/>
                <w:b/>
                <w:bCs/>
                <w:i/>
              </w:rPr>
              <w:t xml:space="preserve">31 dicembre 2016 </w:t>
            </w:r>
            <w:r w:rsidRPr="00613EBE">
              <w:rPr>
                <w:rFonts w:ascii="Bookman Old Style" w:hAnsi="Bookman Old Style"/>
                <w:i/>
              </w:rPr>
              <w:t>il termine per la deliberazione della Nota di aggiornamento del Documento Unico di Programmazione degli enti locali (</w:t>
            </w:r>
            <w:r w:rsidRPr="00613EBE">
              <w:rPr>
                <w:rFonts w:ascii="Bookman Old Style" w:hAnsi="Bookman Old Style"/>
                <w:b/>
                <w:bCs/>
                <w:i/>
              </w:rPr>
              <w:t>DUP</w:t>
            </w:r>
            <w:r w:rsidRPr="00613EBE">
              <w:rPr>
                <w:rFonts w:ascii="Bookman Old Style" w:hAnsi="Bookman Old Style"/>
                <w:i/>
              </w:rPr>
              <w:t>) per l'esercizio finanziario 2017</w:t>
            </w:r>
            <w:r w:rsidRPr="00613EBE">
              <w:rPr>
                <w:rFonts w:ascii="Bookman Old Style" w:hAnsi="Bookman Old Style"/>
              </w:rPr>
              <w:t xml:space="preserve">. </w:t>
            </w:r>
          </w:p>
          <w:p w:rsidR="00F07B8A" w:rsidRPr="00613EBE" w:rsidRDefault="0023346F" w:rsidP="00613EBE">
            <w:pPr>
              <w:jc w:val="both"/>
              <w:rPr>
                <w:rFonts w:ascii="Bookman Old Style" w:hAnsi="Bookman Old Style"/>
                <w:i/>
                <w:color w:val="000000"/>
              </w:rPr>
            </w:pPr>
            <w:r w:rsidRPr="00613EBE">
              <w:rPr>
                <w:rFonts w:ascii="Bookman Old Style" w:hAnsi="Bookman Old Style"/>
                <w:i/>
              </w:rPr>
              <w:t>Si ricorda in proposito che il termine in questione resta di carattere ordinatorio e il Comune può</w:t>
            </w:r>
            <w:r w:rsidR="00613EBE" w:rsidRPr="00613EBE">
              <w:rPr>
                <w:rFonts w:ascii="Bookman Old Style" w:hAnsi="Bookman Old Style"/>
                <w:i/>
              </w:rPr>
              <w:t xml:space="preserve"> regolarsi in modo autonomo, fermo restando l’obbligo di deliberare il DUP (eventualmente variato) quale atto propedutico alla deliberazione delle previsioni.di bilancio.</w:t>
            </w:r>
          </w:p>
        </w:tc>
      </w:tr>
      <w:tr w:rsidR="00F07B8A" w:rsidTr="00086B81">
        <w:trPr>
          <w:gridAfter w:val="1"/>
          <w:wAfter w:w="150" w:type="dxa"/>
        </w:trPr>
        <w:tc>
          <w:tcPr>
            <w:tcW w:w="7138" w:type="dxa"/>
          </w:tcPr>
          <w:p w:rsidR="00F07B8A" w:rsidRPr="00412B3C" w:rsidRDefault="00F07B8A" w:rsidP="00F07B8A">
            <w:pPr>
              <w:shd w:val="clear" w:color="auto" w:fill="FFFFFF"/>
              <w:jc w:val="both"/>
              <w:rPr>
                <w:rFonts w:ascii="Bookman Old Style" w:eastAsia="Times New Roman" w:hAnsi="Bookman Old Style" w:cs="Arial"/>
                <w:b/>
                <w:shd w:val="clear" w:color="auto" w:fill="FFFFFF"/>
                <w:lang w:eastAsia="it-IT"/>
              </w:rPr>
            </w:pPr>
            <w:r w:rsidRPr="00412B3C">
              <w:rPr>
                <w:rFonts w:ascii="Bookman Old Style" w:eastAsia="Times New Roman" w:hAnsi="Bookman Old Style" w:cs="Arial"/>
                <w:b/>
                <w:shd w:val="clear" w:color="auto" w:fill="FFFFFF"/>
                <w:lang w:eastAsia="it-IT"/>
              </w:rPr>
              <w:t xml:space="preserve">456. In deroga </w:t>
            </w:r>
            <w:r>
              <w:rPr>
                <w:rFonts w:ascii="Bookman Old Style" w:eastAsia="Times New Roman" w:hAnsi="Bookman Old Style" w:cs="Arial"/>
                <w:b/>
                <w:shd w:val="clear" w:color="auto" w:fill="FFFFFF"/>
                <w:lang w:eastAsia="it-IT"/>
              </w:rPr>
              <w:t xml:space="preserve">a quanto previsto dall’articolo 2, comma 186, lettera e), della </w:t>
            </w:r>
            <w:r w:rsidRPr="00412B3C">
              <w:rPr>
                <w:rFonts w:ascii="Bookman Old Style" w:eastAsia="Times New Roman" w:hAnsi="Bookman Old Style" w:cs="Arial"/>
                <w:b/>
                <w:shd w:val="clear" w:color="auto" w:fill="FFFFFF"/>
                <w:lang w:eastAsia="it-IT"/>
              </w:rPr>
              <w:t>legge 23 di</w:t>
            </w:r>
            <w:r>
              <w:rPr>
                <w:rFonts w:ascii="Bookman Old Style" w:eastAsia="Times New Roman" w:hAnsi="Bookman Old Style" w:cs="Arial"/>
                <w:b/>
                <w:shd w:val="clear" w:color="auto" w:fill="FFFFFF"/>
                <w:lang w:eastAsia="it-IT"/>
              </w:rPr>
              <w:t xml:space="preserve">cembre 2009, n. 191, i consorzi </w:t>
            </w:r>
            <w:r w:rsidRPr="00412B3C">
              <w:rPr>
                <w:rFonts w:ascii="Bookman Old Style" w:eastAsia="Times New Roman" w:hAnsi="Bookman Old Style" w:cs="Arial"/>
                <w:b/>
                <w:shd w:val="clear" w:color="auto" w:fill="FFFFFF"/>
                <w:lang w:eastAsia="it-IT"/>
              </w:rPr>
              <w:t>di cui all’art</w:t>
            </w:r>
            <w:r>
              <w:rPr>
                <w:rFonts w:ascii="Bookman Old Style" w:eastAsia="Times New Roman" w:hAnsi="Bookman Old Style" w:cs="Arial"/>
                <w:b/>
                <w:shd w:val="clear" w:color="auto" w:fill="FFFFFF"/>
                <w:lang w:eastAsia="it-IT"/>
              </w:rPr>
              <w:t xml:space="preserve">icolo 31 del testo unico di cui </w:t>
            </w:r>
            <w:r w:rsidRPr="00412B3C">
              <w:rPr>
                <w:rFonts w:ascii="Bookman Old Style" w:eastAsia="Times New Roman" w:hAnsi="Bookman Old Style" w:cs="Arial"/>
                <w:b/>
                <w:shd w:val="clear" w:color="auto" w:fill="FFFFFF"/>
                <w:lang w:eastAsia="it-IT"/>
              </w:rPr>
              <w:t>al decreto legi</w:t>
            </w:r>
            <w:r>
              <w:rPr>
                <w:rFonts w:ascii="Bookman Old Style" w:eastAsia="Times New Roman" w:hAnsi="Bookman Old Style" w:cs="Arial"/>
                <w:b/>
                <w:shd w:val="clear" w:color="auto" w:fill="FFFFFF"/>
                <w:lang w:eastAsia="it-IT"/>
              </w:rPr>
              <w:t xml:space="preserve">slativo 18 agosto 2000, </w:t>
            </w:r>
            <w:r w:rsidRPr="00412B3C">
              <w:rPr>
                <w:rFonts w:ascii="Bookman Old Style" w:eastAsia="Times New Roman" w:hAnsi="Bookman Old Style" w:cs="Arial"/>
                <w:b/>
                <w:shd w:val="clear" w:color="auto" w:fill="FFFFFF"/>
                <w:lang w:eastAsia="it-IT"/>
              </w:rPr>
              <w:t>n. 267, possono essere costituiti tra gli enti locali al fi</w:t>
            </w:r>
            <w:r>
              <w:rPr>
                <w:rFonts w:ascii="Bookman Old Style" w:eastAsia="Times New Roman" w:hAnsi="Bookman Old Style" w:cs="Arial"/>
                <w:b/>
                <w:shd w:val="clear" w:color="auto" w:fill="FFFFFF"/>
                <w:lang w:eastAsia="it-IT"/>
              </w:rPr>
              <w:t xml:space="preserve">ne della gestione associata dei </w:t>
            </w:r>
            <w:r w:rsidRPr="00412B3C">
              <w:rPr>
                <w:rFonts w:ascii="Bookman Old Style" w:eastAsia="Times New Roman" w:hAnsi="Bookman Old Style" w:cs="Arial"/>
                <w:b/>
                <w:shd w:val="clear" w:color="auto" w:fill="FFFFFF"/>
                <w:lang w:eastAsia="it-IT"/>
              </w:rPr>
              <w:t>servizi social</w:t>
            </w:r>
            <w:r>
              <w:rPr>
                <w:rFonts w:ascii="Bookman Old Style" w:eastAsia="Times New Roman" w:hAnsi="Bookman Old Style" w:cs="Arial"/>
                <w:b/>
                <w:shd w:val="clear" w:color="auto" w:fill="FFFFFF"/>
                <w:lang w:eastAsia="it-IT"/>
              </w:rPr>
              <w:t xml:space="preserve">i assicurando comunque risparmi </w:t>
            </w:r>
            <w:r w:rsidRPr="00412B3C">
              <w:rPr>
                <w:rFonts w:ascii="Bookman Old Style" w:eastAsia="Times New Roman" w:hAnsi="Bookman Old Style" w:cs="Arial"/>
                <w:b/>
                <w:shd w:val="clear" w:color="auto" w:fill="FFFFFF"/>
                <w:lang w:eastAsia="it-IT"/>
              </w:rPr>
              <w:t>di spesa.</w:t>
            </w:r>
          </w:p>
        </w:tc>
        <w:tc>
          <w:tcPr>
            <w:tcW w:w="7139" w:type="dxa"/>
            <w:gridSpan w:val="3"/>
          </w:tcPr>
          <w:p w:rsidR="00F07B8A" w:rsidRDefault="0023346F" w:rsidP="00472216">
            <w:pPr>
              <w:jc w:val="both"/>
              <w:rPr>
                <w:rFonts w:ascii="Bookman Old Style" w:hAnsi="Bookman Old Style"/>
                <w:i/>
                <w:color w:val="000000"/>
              </w:rPr>
            </w:pPr>
            <w:r w:rsidRPr="008223D5">
              <w:rPr>
                <w:rFonts w:ascii="Bookman Old Style" w:hAnsi="Bookman Old Style"/>
                <w:b/>
                <w:i/>
                <w:color w:val="000000"/>
              </w:rPr>
              <w:t>Il comma 456 permette la costituzione di consorzi</w:t>
            </w:r>
            <w:r>
              <w:rPr>
                <w:rFonts w:ascii="Bookman Old Style" w:hAnsi="Bookman Old Style"/>
                <w:i/>
                <w:color w:val="000000"/>
              </w:rPr>
              <w:t xml:space="preserve"> tra enti locali per la </w:t>
            </w:r>
            <w:r w:rsidRPr="008223D5">
              <w:rPr>
                <w:rFonts w:ascii="Bookman Old Style" w:hAnsi="Bookman Old Style"/>
                <w:b/>
                <w:i/>
                <w:color w:val="000000"/>
              </w:rPr>
              <w:t>gestione associata dei servizi sociali</w:t>
            </w:r>
            <w:r>
              <w:rPr>
                <w:rFonts w:ascii="Bookman Old Style" w:hAnsi="Bookman Old Style"/>
                <w:i/>
                <w:color w:val="000000"/>
              </w:rPr>
              <w:t xml:space="preserve"> (con il vincolo di assicurare “risparmi di spesa”), </w:t>
            </w:r>
            <w:r w:rsidR="00472216">
              <w:rPr>
                <w:rFonts w:ascii="Bookman Old Style" w:hAnsi="Bookman Old Style"/>
                <w:i/>
                <w:color w:val="000000"/>
              </w:rPr>
              <w:t xml:space="preserve">in deroga al </w:t>
            </w:r>
            <w:r w:rsidR="008223D5">
              <w:rPr>
                <w:rFonts w:ascii="Bookman Old Style" w:hAnsi="Bookman Old Style"/>
                <w:i/>
                <w:color w:val="000000"/>
              </w:rPr>
              <w:t>divieto stabilito dalla Legge finanziaria per il 2010.</w:t>
            </w:r>
          </w:p>
        </w:tc>
      </w:tr>
      <w:tr w:rsidR="00F07B8A" w:rsidTr="00086B81">
        <w:trPr>
          <w:gridAfter w:val="1"/>
          <w:wAfter w:w="150" w:type="dxa"/>
        </w:trPr>
        <w:tc>
          <w:tcPr>
            <w:tcW w:w="7138" w:type="dxa"/>
          </w:tcPr>
          <w:p w:rsidR="00F07B8A" w:rsidRPr="00412B3C" w:rsidRDefault="00F07B8A" w:rsidP="00F07B8A">
            <w:pPr>
              <w:shd w:val="clear" w:color="auto" w:fill="FFFFFF"/>
              <w:jc w:val="both"/>
              <w:rPr>
                <w:rFonts w:ascii="Bookman Old Style" w:eastAsia="Times New Roman" w:hAnsi="Bookman Old Style" w:cs="Arial"/>
                <w:b/>
                <w:shd w:val="clear" w:color="auto" w:fill="FFFFFF"/>
                <w:lang w:eastAsia="it-IT"/>
              </w:rPr>
            </w:pPr>
            <w:r w:rsidRPr="00412B3C">
              <w:rPr>
                <w:rFonts w:ascii="Bookman Old Style" w:eastAsia="Times New Roman" w:hAnsi="Bookman Old Style" w:cs="Arial"/>
                <w:b/>
                <w:shd w:val="clear" w:color="auto" w:fill="FFFFFF"/>
                <w:lang w:eastAsia="it-IT"/>
              </w:rPr>
              <w:t xml:space="preserve">457. In deroga </w:t>
            </w:r>
            <w:r>
              <w:rPr>
                <w:rFonts w:ascii="Bookman Old Style" w:eastAsia="Times New Roman" w:hAnsi="Bookman Old Style" w:cs="Arial"/>
                <w:b/>
                <w:shd w:val="clear" w:color="auto" w:fill="FFFFFF"/>
                <w:lang w:eastAsia="it-IT"/>
              </w:rPr>
              <w:t xml:space="preserve">a quanto previsto dall’articolo 255, comma 10, del testo unico </w:t>
            </w:r>
            <w:r w:rsidRPr="00412B3C">
              <w:rPr>
                <w:rFonts w:ascii="Bookman Old Style" w:eastAsia="Times New Roman" w:hAnsi="Bookman Old Style" w:cs="Arial"/>
                <w:b/>
                <w:shd w:val="clear" w:color="auto" w:fill="FFFFFF"/>
                <w:lang w:eastAsia="it-IT"/>
              </w:rPr>
              <w:t>delle leggi sull</w:t>
            </w:r>
            <w:r>
              <w:rPr>
                <w:rFonts w:ascii="Bookman Old Style" w:eastAsia="Times New Roman" w:hAnsi="Bookman Old Style" w:cs="Arial"/>
                <w:b/>
                <w:shd w:val="clear" w:color="auto" w:fill="FFFFFF"/>
                <w:lang w:eastAsia="it-IT"/>
              </w:rPr>
              <w:t xml:space="preserve">’ordinamento degli enti locali, </w:t>
            </w:r>
            <w:r w:rsidRPr="00412B3C">
              <w:rPr>
                <w:rFonts w:ascii="Bookman Old Style" w:eastAsia="Times New Roman" w:hAnsi="Bookman Old Style" w:cs="Arial"/>
                <w:b/>
                <w:shd w:val="clear" w:color="auto" w:fill="FFFFFF"/>
                <w:lang w:eastAsia="it-IT"/>
              </w:rPr>
              <w:t>di cui a</w:t>
            </w:r>
            <w:r>
              <w:rPr>
                <w:rFonts w:ascii="Bookman Old Style" w:eastAsia="Times New Roman" w:hAnsi="Bookman Old Style" w:cs="Arial"/>
                <w:b/>
                <w:shd w:val="clear" w:color="auto" w:fill="FFFFFF"/>
                <w:lang w:eastAsia="it-IT"/>
              </w:rPr>
              <w:t xml:space="preserve">l decreto legislativo 18 agosto </w:t>
            </w:r>
            <w:r w:rsidRPr="00412B3C">
              <w:rPr>
                <w:rFonts w:ascii="Bookman Old Style" w:eastAsia="Times New Roman" w:hAnsi="Bookman Old Style" w:cs="Arial"/>
                <w:b/>
                <w:shd w:val="clear" w:color="auto" w:fill="FFFFFF"/>
                <w:lang w:eastAsia="it-IT"/>
              </w:rPr>
              <w:t>2000, n</w:t>
            </w:r>
            <w:r>
              <w:rPr>
                <w:rFonts w:ascii="Bookman Old Style" w:eastAsia="Times New Roman" w:hAnsi="Bookman Old Style" w:cs="Arial"/>
                <w:b/>
                <w:shd w:val="clear" w:color="auto" w:fill="FFFFFF"/>
                <w:lang w:eastAsia="it-IT"/>
              </w:rPr>
              <w:t xml:space="preserve">. 267, per i comuni in stato di </w:t>
            </w:r>
            <w:r w:rsidRPr="00412B3C">
              <w:rPr>
                <w:rFonts w:ascii="Bookman Old Style" w:eastAsia="Times New Roman" w:hAnsi="Bookman Old Style" w:cs="Arial"/>
                <w:b/>
                <w:shd w:val="clear" w:color="auto" w:fill="FFFFFF"/>
                <w:lang w:eastAsia="it-IT"/>
              </w:rPr>
              <w:t>dissesto, l’amm</w:t>
            </w:r>
            <w:r>
              <w:rPr>
                <w:rFonts w:ascii="Bookman Old Style" w:eastAsia="Times New Roman" w:hAnsi="Bookman Old Style" w:cs="Arial"/>
                <w:b/>
                <w:shd w:val="clear" w:color="auto" w:fill="FFFFFF"/>
                <w:lang w:eastAsia="it-IT"/>
              </w:rPr>
              <w:t xml:space="preserve">inistrazione dei residui attivi </w:t>
            </w:r>
            <w:r w:rsidRPr="00412B3C">
              <w:rPr>
                <w:rFonts w:ascii="Bookman Old Style" w:eastAsia="Times New Roman" w:hAnsi="Bookman Old Style" w:cs="Arial"/>
                <w:b/>
                <w:shd w:val="clear" w:color="auto" w:fill="FFFFFF"/>
                <w:lang w:eastAsia="it-IT"/>
              </w:rPr>
              <w:t>e passi</w:t>
            </w:r>
            <w:r>
              <w:rPr>
                <w:rFonts w:ascii="Bookman Old Style" w:eastAsia="Times New Roman" w:hAnsi="Bookman Old Style" w:cs="Arial"/>
                <w:b/>
                <w:shd w:val="clear" w:color="auto" w:fill="FFFFFF"/>
                <w:lang w:eastAsia="it-IT"/>
              </w:rPr>
              <w:t xml:space="preserve">vi relativi ai fondi a gestione </w:t>
            </w:r>
            <w:r w:rsidRPr="00412B3C">
              <w:rPr>
                <w:rFonts w:ascii="Bookman Old Style" w:eastAsia="Times New Roman" w:hAnsi="Bookman Old Style" w:cs="Arial"/>
                <w:b/>
                <w:shd w:val="clear" w:color="auto" w:fill="FFFFFF"/>
                <w:lang w:eastAsia="it-IT"/>
              </w:rPr>
              <w:t>vincolata c</w:t>
            </w:r>
            <w:r>
              <w:rPr>
                <w:rFonts w:ascii="Bookman Old Style" w:eastAsia="Times New Roman" w:hAnsi="Bookman Old Style" w:cs="Arial"/>
                <w:b/>
                <w:shd w:val="clear" w:color="auto" w:fill="FFFFFF"/>
                <w:lang w:eastAsia="it-IT"/>
              </w:rPr>
              <w:t xml:space="preserve">ompete all’organo straordinario </w:t>
            </w:r>
            <w:r w:rsidRPr="00412B3C">
              <w:rPr>
                <w:rFonts w:ascii="Bookman Old Style" w:eastAsia="Times New Roman" w:hAnsi="Bookman Old Style" w:cs="Arial"/>
                <w:b/>
                <w:shd w:val="clear" w:color="auto" w:fill="FFFFFF"/>
                <w:lang w:eastAsia="it-IT"/>
              </w:rPr>
              <w:t>di liquidazione.</w:t>
            </w:r>
          </w:p>
        </w:tc>
        <w:tc>
          <w:tcPr>
            <w:tcW w:w="7139" w:type="dxa"/>
            <w:gridSpan w:val="3"/>
          </w:tcPr>
          <w:p w:rsidR="00F07B8A" w:rsidRDefault="00F07B8A" w:rsidP="00F07B8A">
            <w:pPr>
              <w:jc w:val="both"/>
              <w:rPr>
                <w:rFonts w:ascii="Bookman Old Style" w:hAnsi="Bookman Old Style"/>
                <w:i/>
                <w:color w:val="000000"/>
              </w:rPr>
            </w:pPr>
            <w:r>
              <w:rPr>
                <w:rFonts w:ascii="Bookman Old Style" w:hAnsi="Bookman Old Style"/>
                <w:i/>
                <w:color w:val="000000"/>
              </w:rPr>
              <w:t xml:space="preserve">Il </w:t>
            </w:r>
            <w:r w:rsidRPr="00E64C89">
              <w:rPr>
                <w:rFonts w:ascii="Bookman Old Style" w:hAnsi="Bookman Old Style"/>
                <w:b/>
                <w:i/>
                <w:color w:val="000000"/>
              </w:rPr>
              <w:t>comma 457</w:t>
            </w:r>
            <w:r>
              <w:rPr>
                <w:rFonts w:ascii="Bookman Old Style" w:hAnsi="Bookman Old Style"/>
                <w:i/>
                <w:color w:val="000000"/>
              </w:rPr>
              <w:t>, introdotto dalla Camera, prevede una deroga all’attuale normativa in materia di dissesto, stabilendo che spetta all’organo s</w:t>
            </w:r>
            <w:r w:rsidR="0023346F">
              <w:rPr>
                <w:rFonts w:ascii="Bookman Old Style" w:hAnsi="Bookman Old Style"/>
                <w:i/>
                <w:color w:val="000000"/>
              </w:rPr>
              <w:t>traordinario di liquidazione (OS</w:t>
            </w:r>
            <w:r>
              <w:rPr>
                <w:rFonts w:ascii="Bookman Old Style" w:hAnsi="Bookman Old Style"/>
                <w:i/>
                <w:color w:val="000000"/>
              </w:rPr>
              <w:t xml:space="preserve">L), in esercizio nei comuni in stato di dissesto finanziario, l’amministrazione dei residui attivi e passivi relativi ai fondi a gestione vincolata. </w:t>
            </w:r>
          </w:p>
          <w:p w:rsidR="00F07B8A" w:rsidRDefault="00F07B8A" w:rsidP="00F07B8A">
            <w:pPr>
              <w:jc w:val="both"/>
              <w:rPr>
                <w:rFonts w:ascii="Bookman Old Style" w:hAnsi="Bookman Old Style"/>
                <w:i/>
                <w:color w:val="000000"/>
              </w:rPr>
            </w:pPr>
            <w:r>
              <w:rPr>
                <w:rFonts w:ascii="Bookman Old Style" w:hAnsi="Bookman Old Style"/>
                <w:i/>
                <w:color w:val="000000"/>
              </w:rPr>
              <w:t xml:space="preserve">Restano, invece, </w:t>
            </w:r>
            <w:r w:rsidR="0023346F">
              <w:rPr>
                <w:rFonts w:ascii="Bookman Old Style" w:hAnsi="Bookman Old Style"/>
                <w:i/>
                <w:color w:val="000000"/>
              </w:rPr>
              <w:t>escluse della competenza dell’OS</w:t>
            </w:r>
            <w:r>
              <w:rPr>
                <w:rFonts w:ascii="Bookman Old Style" w:hAnsi="Bookman Old Style"/>
                <w:i/>
                <w:color w:val="000000"/>
              </w:rPr>
              <w:t xml:space="preserve">L l’amministrazione dei residui attivi e passivi relativi a mutui passivi già attivati per investimenti, ivi compreso il pagamento delle relative spese, nonché l’amministrazione dei debiti assistiti dalla garanzia della delegazione di pagamento. </w:t>
            </w:r>
          </w:p>
        </w:tc>
      </w:tr>
      <w:tr w:rsidR="00F07B8A" w:rsidTr="00086B81">
        <w:trPr>
          <w:gridAfter w:val="1"/>
          <w:wAfter w:w="150" w:type="dxa"/>
        </w:trPr>
        <w:tc>
          <w:tcPr>
            <w:tcW w:w="7138" w:type="dxa"/>
          </w:tcPr>
          <w:p w:rsidR="00F07B8A" w:rsidRDefault="00F07B8A" w:rsidP="00F07B8A">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458</w:t>
            </w:r>
            <w:r w:rsidRPr="00E847D3">
              <w:rPr>
                <w:rFonts w:ascii="Bookman Old Style" w:eastAsia="Times New Roman" w:hAnsi="Bookman Old Style" w:cs="Arial"/>
                <w:shd w:val="clear" w:color="auto" w:fill="FFFFFF"/>
                <w:lang w:eastAsia="it-IT"/>
              </w:rPr>
              <w:t>. All'</w:t>
            </w:r>
            <w:hyperlink r:id="rId49" w:anchor="art5-com1" w:tgtFrame="rifNormativi" w:history="1">
              <w:r w:rsidRPr="00CF63B8">
                <w:rPr>
                  <w:rFonts w:ascii="Bookman Old Style" w:eastAsia="Times New Roman" w:hAnsi="Bookman Old Style" w:cs="Arial"/>
                  <w:lang w:eastAsia="it-IT"/>
                </w:rPr>
                <w:t>articolo 5, comma 1, del decreto legislativo 26 novembre 2010, n. 216</w:t>
              </w:r>
            </w:hyperlink>
            <w:r w:rsidRPr="00E847D3">
              <w:rPr>
                <w:rFonts w:ascii="Bookman Old Style" w:eastAsia="Times New Roman" w:hAnsi="Bookman Old Style" w:cs="Arial"/>
                <w:shd w:val="clear" w:color="auto" w:fill="FFFFFF"/>
                <w:lang w:eastAsia="it-IT"/>
              </w:rPr>
              <w:t>, sono apportate le seguenti modificazioni:</w:t>
            </w:r>
          </w:p>
          <w:p w:rsidR="00F07B8A" w:rsidRPr="00E847D3" w:rsidRDefault="00F07B8A" w:rsidP="00F07B8A">
            <w:pPr>
              <w:shd w:val="clear" w:color="auto" w:fill="FFFFFF"/>
              <w:jc w:val="both"/>
              <w:rPr>
                <w:rFonts w:ascii="Bookman Old Style" w:eastAsia="Times New Roman" w:hAnsi="Bookman Old Style" w:cs="Times New Roman"/>
                <w:lang w:eastAsia="it-IT"/>
              </w:rPr>
            </w:pPr>
          </w:p>
          <w:p w:rsidR="00F07B8A" w:rsidRPr="009071F1" w:rsidRDefault="00F07B8A" w:rsidP="00F07B8A">
            <w:pPr>
              <w:pStyle w:val="Paragrafoelenco"/>
              <w:numPr>
                <w:ilvl w:val="0"/>
                <w:numId w:val="3"/>
              </w:numPr>
              <w:shd w:val="clear" w:color="auto" w:fill="FFFFFF"/>
              <w:jc w:val="both"/>
              <w:rPr>
                <w:rFonts w:ascii="Bookman Old Style" w:eastAsia="Times New Roman" w:hAnsi="Bookman Old Style" w:cs="Arial"/>
                <w:lang w:eastAsia="it-IT"/>
              </w:rPr>
            </w:pPr>
            <w:r w:rsidRPr="009071F1">
              <w:rPr>
                <w:rFonts w:ascii="Bookman Old Style" w:eastAsia="Times New Roman" w:hAnsi="Bookman Old Style" w:cs="Arial"/>
                <w:lang w:eastAsia="it-IT"/>
              </w:rPr>
              <w:t> le parole: «Società per gli studi di settore-Sose s.p.a.», ovunque ricorrono, sono sostituite dalle seguenti: «Società Soluzioni per il sistema economico – Sose s.p.a.»;</w:t>
            </w:r>
          </w:p>
          <w:p w:rsidR="00F07B8A" w:rsidRPr="009071F1" w:rsidRDefault="00F07B8A" w:rsidP="00F07B8A">
            <w:pPr>
              <w:pStyle w:val="Paragrafoelenco"/>
              <w:numPr>
                <w:ilvl w:val="0"/>
                <w:numId w:val="3"/>
              </w:numPr>
              <w:shd w:val="clear" w:color="auto" w:fill="FFFFFF"/>
              <w:jc w:val="both"/>
              <w:rPr>
                <w:rFonts w:ascii="Bookman Old Style" w:eastAsia="Times New Roman" w:hAnsi="Bookman Old Style" w:cs="Arial"/>
                <w:lang w:eastAsia="it-IT"/>
              </w:rPr>
            </w:pPr>
            <w:r w:rsidRPr="009071F1">
              <w:rPr>
                <w:rFonts w:ascii="Bookman Old Style" w:eastAsia="Times New Roman" w:hAnsi="Bookman Old Style" w:cs="Arial"/>
                <w:lang w:eastAsia="it-IT"/>
              </w:rPr>
              <w:t>alla lettera </w:t>
            </w:r>
            <w:r w:rsidRPr="009071F1">
              <w:rPr>
                <w:rFonts w:ascii="Bookman Old Style" w:eastAsia="Times New Roman" w:hAnsi="Bookman Old Style" w:cs="Arial"/>
                <w:i/>
                <w:iCs/>
                <w:lang w:eastAsia="it-IT"/>
              </w:rPr>
              <w:t>a)</w:t>
            </w:r>
            <w:r w:rsidRPr="009071F1">
              <w:rPr>
                <w:rFonts w:ascii="Bookman Old Style" w:eastAsia="Times New Roman" w:hAnsi="Bookman Old Style" w:cs="Arial"/>
                <w:lang w:eastAsia="it-IT"/>
              </w:rPr>
              <w:t>, le parole: «Comuni e Province» sono sostituite dalle seguenti: «Enti locali»;</w:t>
            </w:r>
          </w:p>
          <w:p w:rsidR="00F07B8A" w:rsidRPr="009071F1" w:rsidRDefault="00F07B8A" w:rsidP="00F07B8A">
            <w:pPr>
              <w:pStyle w:val="Paragrafoelenco"/>
              <w:numPr>
                <w:ilvl w:val="0"/>
                <w:numId w:val="3"/>
              </w:numPr>
              <w:shd w:val="clear" w:color="auto" w:fill="FFFFFF"/>
              <w:jc w:val="both"/>
              <w:rPr>
                <w:rFonts w:ascii="Bookman Old Style" w:eastAsia="Times New Roman" w:hAnsi="Bookman Old Style" w:cs="Arial"/>
                <w:lang w:eastAsia="it-IT"/>
              </w:rPr>
            </w:pPr>
            <w:r w:rsidRPr="009071F1">
              <w:rPr>
                <w:rFonts w:ascii="Bookman Old Style" w:eastAsia="Times New Roman" w:hAnsi="Bookman Old Style" w:cs="Arial"/>
                <w:lang w:eastAsia="it-IT"/>
              </w:rPr>
              <w:lastRenderedPageBreak/>
              <w:t>la lettera</w:t>
            </w:r>
            <w:r>
              <w:rPr>
                <w:rFonts w:ascii="Bookman Old Style" w:eastAsia="Times New Roman" w:hAnsi="Bookman Old Style" w:cs="Arial"/>
                <w:lang w:eastAsia="it-IT"/>
              </w:rPr>
              <w:t xml:space="preserve"> </w:t>
            </w:r>
            <w:r w:rsidRPr="009071F1">
              <w:rPr>
                <w:rFonts w:ascii="Bookman Old Style" w:eastAsia="Times New Roman" w:hAnsi="Bookman Old Style" w:cs="Arial"/>
                <w:i/>
                <w:iCs/>
                <w:lang w:eastAsia="it-IT"/>
              </w:rPr>
              <w:t>c)</w:t>
            </w:r>
            <w:r w:rsidRPr="009071F1">
              <w:rPr>
                <w:rFonts w:ascii="Bookman Old Style" w:eastAsia="Times New Roman" w:hAnsi="Bookman Old Style" w:cs="Arial"/>
                <w:lang w:eastAsia="it-IT"/>
              </w:rPr>
              <w:t>è sostituita dalla seguente:</w:t>
            </w:r>
          </w:p>
          <w:p w:rsidR="00F07B8A"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ai fini di cui alle lettere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E847D3">
              <w:rPr>
                <w:rFonts w:ascii="Bookman Old Style" w:eastAsia="Times New Roman" w:hAnsi="Bookman Old Style" w:cs="Arial"/>
                <w:lang w:eastAsia="it-IT"/>
              </w:rPr>
              <w:t>, la Società Soluzioni per il sistema economico – Sose s.p.a. può predisporre appositi sistemi di rilevazione di informazioni funzionali a raccogliere i dati necessari per il calcolo dei fabbisogni</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degli Enti locali. Ove predisposti e somministrati, gli Enti locali restituiscono per via telematica, entro sessanta giorni dalla pubblicazione, le informazioni richieste. Il mancato invio, nel termine predetto, delle informazioni è sanzionato con la sospensione, sino all'adempimento dell'obbligo di invio delle informazioni, dei trasferimenti a qualunque titolo erogati all'Ente locale e la pubblicazione sul sito del Ministero dell'interno dell'ente inadempiente. Agli stessi fini di cui alle lettere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E847D3">
              <w:rPr>
                <w:rFonts w:ascii="Bookman Old Style" w:eastAsia="Times New Roman" w:hAnsi="Bookman Old Style" w:cs="Arial"/>
                <w:lang w:eastAsia="it-IT"/>
              </w:rPr>
              <w:t>, anche il certificato di conto consuntivo di cui all'articolo 161 del testo unico di cui al</w:t>
            </w:r>
            <w:r w:rsidRPr="00CF63B8">
              <w:rPr>
                <w:rFonts w:ascii="Bookman Old Style" w:eastAsia="Times New Roman" w:hAnsi="Bookman Old Style" w:cs="Arial"/>
                <w:lang w:eastAsia="it-IT"/>
              </w:rPr>
              <w:t> </w:t>
            </w:r>
            <w:hyperlink r:id="rId50"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lang w:eastAsia="it-IT"/>
              </w:rPr>
              <w:t>, contiene i dati necessari per il calcolo del fabbisogno</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r w:rsidRPr="00E847D3">
              <w:rPr>
                <w:rFonts w:ascii="Bookman Old Style" w:eastAsia="Times New Roman" w:hAnsi="Bookman Old Style" w:cs="Arial"/>
                <w:lang w:eastAsia="it-IT"/>
              </w:rPr>
              <w:t>»;</w:t>
            </w:r>
          </w:p>
          <w:p w:rsidR="00F07B8A"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d)</w:t>
            </w:r>
            <w:r w:rsidRPr="00E847D3">
              <w:rPr>
                <w:rFonts w:ascii="Bookman Old Style" w:eastAsia="Times New Roman" w:hAnsi="Bookman Old Style" w:cs="Arial"/>
                <w:lang w:eastAsia="it-IT"/>
              </w:rPr>
              <w:t>, la parola: «questionari» è sostituita dalle seguenti: «sistemi di rilevazione di informazioni» e le parole: «ai Comuni e alle Province» sono sostituite dalle seguenti: «agli Enti locali»;</w:t>
            </w:r>
          </w:p>
          <w:p w:rsidR="00E64C89" w:rsidRDefault="00E64C89" w:rsidP="00F07B8A">
            <w:pPr>
              <w:shd w:val="clear" w:color="auto" w:fill="FFFFFF"/>
              <w:jc w:val="both"/>
              <w:rPr>
                <w:rFonts w:ascii="Bookman Old Style" w:eastAsia="Times New Roman" w:hAnsi="Bookman Old Style" w:cs="Arial"/>
                <w:lang w:eastAsia="it-IT"/>
              </w:rPr>
            </w:pPr>
          </w:p>
          <w:p w:rsidR="00F07B8A" w:rsidRDefault="00F07B8A" w:rsidP="00F07B8A">
            <w:pPr>
              <w:shd w:val="clear" w:color="auto" w:fill="FFFFFF"/>
              <w:jc w:val="both"/>
              <w:rPr>
                <w:rFonts w:ascii="Bookman Old Style" w:eastAsia="Times New Roman" w:hAnsi="Bookman Old Style" w:cs="Arial"/>
                <w:i/>
                <w:iCs/>
                <w:lang w:eastAsia="it-IT"/>
              </w:rPr>
            </w:pPr>
            <w:r w:rsidRPr="00CF63B8">
              <w:rPr>
                <w:rFonts w:ascii="Bookman Old Style" w:eastAsia="Times New Roman" w:hAnsi="Bookman Old Style" w:cs="Arial"/>
                <w:i/>
                <w:iCs/>
                <w:lang w:eastAsia="it-IT"/>
              </w:rPr>
              <w:t>e)</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w:t>
            </w:r>
            <w:r w:rsidRPr="00E847D3">
              <w:rPr>
                <w:rFonts w:ascii="Bookman Old Style" w:eastAsia="Times New Roman" w:hAnsi="Bookman Old Style" w:cs="Arial"/>
                <w:lang w:eastAsia="it-IT"/>
              </w:rPr>
              <w:t>, primo periodo, dopo le parole: «Commissione tecnica per i fabbisogni</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sono inserite le seguenti: «,istituita ai sensi dell'</w:t>
            </w:r>
            <w:hyperlink r:id="rId51" w:anchor="art1-com29" w:tgtFrame="rifNormativi" w:history="1">
              <w:r w:rsidRPr="00CF63B8">
                <w:rPr>
                  <w:rFonts w:ascii="Bookman Old Style" w:eastAsia="Times New Roman" w:hAnsi="Bookman Old Style" w:cs="Arial"/>
                  <w:lang w:eastAsia="it-IT"/>
                </w:rPr>
                <w:t>articolo 1, comma 29, della legge 28 dicembre 2015, n. 208</w:t>
              </w:r>
            </w:hyperlink>
            <w:r w:rsidRPr="00E847D3">
              <w:rPr>
                <w:rFonts w:ascii="Bookman Old Style" w:eastAsia="Times New Roman" w:hAnsi="Bookman Old Style" w:cs="Arial"/>
                <w:lang w:eastAsia="it-IT"/>
              </w:rPr>
              <w:t>,» e, al secondo periodo, dopo le parole: «Commissione tecnica» sono inserite le seguenti: «per i fabbisogni</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standard»;</w:t>
            </w:r>
          </w:p>
          <w:p w:rsidR="00F07B8A" w:rsidRPr="00E847D3" w:rsidRDefault="00F07B8A" w:rsidP="00F07B8A">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f)</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f)</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è sostituita dalla seguente:</w:t>
            </w:r>
          </w:p>
          <w:p w:rsidR="00F07B8A" w:rsidRPr="00161157" w:rsidRDefault="00F07B8A" w:rsidP="00F07B8A">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w:t>
            </w:r>
            <w:r w:rsidRPr="00CF63B8">
              <w:rPr>
                <w:rFonts w:ascii="Bookman Old Style" w:eastAsia="Times New Roman" w:hAnsi="Bookman Old Style" w:cs="Arial"/>
                <w:i/>
                <w:iCs/>
                <w:lang w:eastAsia="it-IT"/>
              </w:rPr>
              <w:t>f)</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i dati raccolti ed elaborati per le attività di cui al presente articolo, ai sensi dell'articolo 60 del codice dell'amministrazione digitale, di cui al</w:t>
            </w:r>
            <w:r w:rsidRPr="00CF63B8">
              <w:rPr>
                <w:rFonts w:ascii="Bookman Old Style" w:eastAsia="Times New Roman" w:hAnsi="Bookman Old Style" w:cs="Arial"/>
                <w:lang w:eastAsia="it-IT"/>
              </w:rPr>
              <w:t> </w:t>
            </w:r>
            <w:hyperlink r:id="rId52" w:tgtFrame="rifNormativi" w:history="1">
              <w:r w:rsidRPr="00CF63B8">
                <w:rPr>
                  <w:rFonts w:ascii="Bookman Old Style" w:eastAsia="Times New Roman" w:hAnsi="Bookman Old Style" w:cs="Arial"/>
                  <w:lang w:eastAsia="it-IT"/>
                </w:rPr>
                <w:t>decreto legislativo 7 marzo 2005, n. 82</w:t>
              </w:r>
            </w:hyperlink>
            <w:r w:rsidRPr="00E847D3">
              <w:rPr>
                <w:rFonts w:ascii="Bookman Old Style" w:eastAsia="Times New Roman" w:hAnsi="Bookman Old Style" w:cs="Arial"/>
                <w:lang w:eastAsia="it-IT"/>
              </w:rPr>
              <w:t>, confluiscono nella banca dati delle amministrazioni pubbliche di cui all'</w:t>
            </w:r>
            <w:hyperlink r:id="rId53" w:anchor="art13" w:tgtFrame="rifNormativi" w:history="1">
              <w:r w:rsidRPr="00CF63B8">
                <w:rPr>
                  <w:rFonts w:ascii="Bookman Old Style" w:eastAsia="Times New Roman" w:hAnsi="Bookman Old Style" w:cs="Arial"/>
                  <w:lang w:eastAsia="it-IT"/>
                </w:rPr>
                <w:t>articolo 13 della legge 31 dicembre 2009, n. 196</w:t>
              </w:r>
            </w:hyperlink>
            <w:r w:rsidRPr="00E847D3">
              <w:rPr>
                <w:rFonts w:ascii="Bookman Old Style" w:eastAsia="Times New Roman" w:hAnsi="Bookman Old Style" w:cs="Arial"/>
                <w:lang w:eastAsia="it-IT"/>
              </w:rPr>
              <w:t>, nonché in quella di cui all'articolo 5, comma 1,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g)</w:t>
            </w:r>
            <w:r w:rsidRPr="00E847D3">
              <w:rPr>
                <w:rFonts w:ascii="Bookman Old Style" w:eastAsia="Times New Roman" w:hAnsi="Bookman Old Style" w:cs="Arial"/>
                <w:lang w:eastAsia="it-IT"/>
              </w:rPr>
              <w:t>, della</w:t>
            </w:r>
            <w:r w:rsidRPr="00CF63B8">
              <w:rPr>
                <w:rFonts w:ascii="Bookman Old Style" w:eastAsia="Times New Roman" w:hAnsi="Bookman Old Style" w:cs="Arial"/>
                <w:lang w:eastAsia="it-IT"/>
              </w:rPr>
              <w:t> </w:t>
            </w:r>
            <w:hyperlink r:id="rId54" w:tgtFrame="rifNormativi" w:history="1">
              <w:r w:rsidRPr="00CF63B8">
                <w:rPr>
                  <w:rFonts w:ascii="Bookman Old Style" w:eastAsia="Times New Roman" w:hAnsi="Bookman Old Style" w:cs="Arial"/>
                  <w:lang w:eastAsia="it-IT"/>
                </w:rPr>
                <w:t>legge 5 maggio 2009, n. 42</w:t>
              </w:r>
            </w:hyperlink>
            <w:r w:rsidRPr="00E847D3">
              <w:rPr>
                <w:rFonts w:ascii="Bookman Old Style" w:eastAsia="Times New Roman" w:hAnsi="Bookman Old Style" w:cs="Arial"/>
                <w:lang w:eastAsia="it-IT"/>
              </w:rPr>
              <w:t xml:space="preserve">, e sono, altresì, pubblicati nel </w:t>
            </w:r>
            <w:r w:rsidRPr="00E847D3">
              <w:rPr>
                <w:rFonts w:ascii="Bookman Old Style" w:eastAsia="Times New Roman" w:hAnsi="Bookman Old Style" w:cs="Arial"/>
                <w:lang w:eastAsia="it-IT"/>
              </w:rPr>
              <w:lastRenderedPageBreak/>
              <w:t>sito “www.opencivitas.it</w:t>
            </w:r>
            <w:r w:rsidRPr="00CF63B8">
              <w:rPr>
                <w:rFonts w:ascii="Bookman Old Style" w:eastAsia="Times New Roman" w:hAnsi="Bookman Old Style" w:cs="Arial"/>
                <w:i/>
                <w:iCs/>
                <w:lang w:eastAsia="it-IT"/>
              </w:rPr>
              <w:t>”</w:t>
            </w:r>
            <w:r w:rsidRPr="00E847D3">
              <w:rPr>
                <w:rFonts w:ascii="Bookman Old Style" w:eastAsia="Times New Roman" w:hAnsi="Bookman Old Style" w:cs="Arial"/>
                <w:lang w:eastAsia="it-IT"/>
              </w:rPr>
              <w:t>, il quale consente ai cittadini ed agli Enti locali di accedere ai dati monitorati e alle elaborazioni relative, ai sensi degli articoli 50 e 52 del citato codice di cui al</w:t>
            </w:r>
            <w:r w:rsidRPr="00CF63B8">
              <w:rPr>
                <w:rFonts w:ascii="Bookman Old Style" w:eastAsia="Times New Roman" w:hAnsi="Bookman Old Style" w:cs="Arial"/>
                <w:lang w:eastAsia="it-IT"/>
              </w:rPr>
              <w:t> </w:t>
            </w:r>
            <w:hyperlink r:id="rId55" w:tgtFrame="rifNormativi" w:history="1">
              <w:r w:rsidRPr="00CF63B8">
                <w:rPr>
                  <w:rFonts w:ascii="Bookman Old Style" w:eastAsia="Times New Roman" w:hAnsi="Bookman Old Style" w:cs="Arial"/>
                  <w:lang w:eastAsia="it-IT"/>
                </w:rPr>
                <w:t>decreto legislativo 7 marzo 2005, n. 82</w:t>
              </w:r>
            </w:hyperlink>
            <w:r w:rsidRPr="00E847D3">
              <w:rPr>
                <w:rFonts w:ascii="Bookman Old Style" w:eastAsia="Times New Roman" w:hAnsi="Bookman Old Style" w:cs="Arial"/>
                <w:lang w:eastAsia="it-IT"/>
              </w:rPr>
              <w:t>. L'invio delle informazioni di cui alla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costituisce espressa adozione di una licenza di cui all'articolo 2, comma 1, lettere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h)</w:t>
            </w:r>
            <w:r w:rsidRPr="00E847D3">
              <w:rPr>
                <w:rFonts w:ascii="Bookman Old Style" w:eastAsia="Times New Roman" w:hAnsi="Bookman Old Style" w:cs="Arial"/>
                <w:lang w:eastAsia="it-IT"/>
              </w:rPr>
              <w:t>, del</w:t>
            </w:r>
            <w:r w:rsidRPr="00CF63B8">
              <w:rPr>
                <w:rFonts w:ascii="Bookman Old Style" w:eastAsia="Times New Roman" w:hAnsi="Bookman Old Style" w:cs="Arial"/>
                <w:lang w:eastAsia="it-IT"/>
              </w:rPr>
              <w:t> </w:t>
            </w:r>
            <w:hyperlink r:id="rId56" w:tgtFrame="rifNormativi" w:history="1">
              <w:r w:rsidRPr="00CF63B8">
                <w:rPr>
                  <w:rFonts w:ascii="Bookman Old Style" w:eastAsia="Times New Roman" w:hAnsi="Bookman Old Style" w:cs="Arial"/>
                  <w:lang w:eastAsia="it-IT"/>
                </w:rPr>
                <w:t>decreto legislativo 24 gennaio 2006, n. 36</w:t>
              </w:r>
            </w:hyperlink>
            <w:r w:rsidRPr="00E847D3">
              <w:rPr>
                <w:rFonts w:ascii="Bookman Old Style" w:eastAsia="Times New Roman" w:hAnsi="Bookman Old Style" w:cs="Arial"/>
                <w:lang w:eastAsia="it-IT"/>
              </w:rPr>
              <w:t>».</w:t>
            </w:r>
          </w:p>
        </w:tc>
        <w:tc>
          <w:tcPr>
            <w:tcW w:w="7139" w:type="dxa"/>
            <w:gridSpan w:val="3"/>
          </w:tcPr>
          <w:p w:rsidR="00F07B8A" w:rsidRPr="000778A2" w:rsidRDefault="00F07B8A" w:rsidP="00F07B8A">
            <w:pPr>
              <w:jc w:val="both"/>
              <w:rPr>
                <w:rFonts w:ascii="Bookman Old Style" w:hAnsi="Bookman Old Style"/>
                <w:i/>
                <w:color w:val="000000"/>
              </w:rPr>
            </w:pPr>
            <w:r>
              <w:rPr>
                <w:rFonts w:ascii="Bookman Old Style" w:hAnsi="Bookman Old Style"/>
                <w:i/>
                <w:color w:val="000000"/>
              </w:rPr>
              <w:lastRenderedPageBreak/>
              <w:t xml:space="preserve">Il </w:t>
            </w:r>
            <w:r w:rsidRPr="00412B3C">
              <w:rPr>
                <w:rFonts w:ascii="Bookman Old Style" w:hAnsi="Bookman Old Style"/>
                <w:b/>
                <w:i/>
                <w:color w:val="000000"/>
              </w:rPr>
              <w:t>comma 458</w:t>
            </w:r>
            <w:r w:rsidRPr="000778A2">
              <w:rPr>
                <w:rFonts w:ascii="Bookman Old Style" w:hAnsi="Bookman Old Style"/>
                <w:i/>
                <w:color w:val="000000"/>
              </w:rPr>
              <w:t xml:space="preserve"> interviene sul procedimento di determinazione dei fabbisogni standard. In particolare viene modificata la disciplina procedural</w:t>
            </w:r>
            <w:r w:rsidR="00472216">
              <w:rPr>
                <w:rFonts w:ascii="Bookman Old Style" w:hAnsi="Bookman Old Style"/>
                <w:i/>
                <w:color w:val="000000"/>
              </w:rPr>
              <w:t>e prevista dall’articolo 5 del d.l</w:t>
            </w:r>
            <w:r w:rsidRPr="000778A2">
              <w:rPr>
                <w:rFonts w:ascii="Bookman Old Style" w:hAnsi="Bookman Old Style"/>
                <w:i/>
                <w:color w:val="000000"/>
              </w:rPr>
              <w:t>gs 216/2010 con un intervento di adeguamento al contesto normativo attuale.</w:t>
            </w:r>
          </w:p>
          <w:p w:rsidR="00F07B8A" w:rsidRPr="000778A2" w:rsidRDefault="00F07B8A" w:rsidP="00F07B8A">
            <w:pPr>
              <w:jc w:val="both"/>
              <w:rPr>
                <w:rFonts w:ascii="Bookman Old Style" w:hAnsi="Bookman Old Style"/>
                <w:i/>
                <w:color w:val="000000"/>
              </w:rPr>
            </w:pP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L’indicazione degli “enti locali” tra i destinatari delle richieste di informazioni ai fini dei fabbisogni standard (lett.b) comporta una maggiore cogenza delle richieste stesse nei confronti delle unioni </w:t>
            </w:r>
            <w:r w:rsidRPr="000778A2">
              <w:rPr>
                <w:rFonts w:ascii="Bookman Old Style" w:hAnsi="Bookman Old Style"/>
                <w:i/>
                <w:color w:val="000000"/>
              </w:rPr>
              <w:lastRenderedPageBreak/>
              <w:t>di Comuni.</w:t>
            </w: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La lettera c) prevede un superamento dell’acquisizione dei dati per la rilevazione dei fabbisogni standard unicamente tramite i questionari, ampliando la possibilità di richiesta dati anche con altri sistemi</w:t>
            </w:r>
            <w:r>
              <w:rPr>
                <w:rFonts w:ascii="Bookman Old Style" w:hAnsi="Bookman Old Style"/>
                <w:i/>
                <w:color w:val="000000"/>
              </w:rPr>
              <w:t xml:space="preserve"> </w:t>
            </w:r>
            <w:r w:rsidRPr="000778A2">
              <w:rPr>
                <w:rFonts w:ascii="Bookman Old Style" w:hAnsi="Bookman Old Style"/>
                <w:i/>
                <w:color w:val="000000"/>
              </w:rPr>
              <w:t>ancorché non esplicitamente coniugati. Sembrerebbe superata anche la sottoscrizione delle informazioni dichiarate a cura del legale rappresentante e dal responsabile economico finanziario. Rimane immutata la sanzione in caso di mancata risposta che, trascorso il termine di 60 gg,</w:t>
            </w:r>
            <w:r>
              <w:rPr>
                <w:rFonts w:ascii="Bookman Old Style" w:hAnsi="Bookman Old Style"/>
                <w:i/>
                <w:color w:val="000000"/>
              </w:rPr>
              <w:t xml:space="preserve"> </w:t>
            </w:r>
            <w:r w:rsidRPr="000778A2">
              <w:rPr>
                <w:rFonts w:ascii="Bookman Old Style" w:hAnsi="Bookman Old Style"/>
                <w:i/>
                <w:color w:val="000000"/>
              </w:rPr>
              <w:t>prevede la sospensione delle assegnazioni statali fino all’adempimento dell’obbligo.</w:t>
            </w:r>
          </w:p>
          <w:p w:rsidR="00F07B8A" w:rsidRPr="000778A2" w:rsidRDefault="00F07B8A" w:rsidP="00F07B8A">
            <w:pPr>
              <w:jc w:val="both"/>
              <w:rPr>
                <w:rFonts w:ascii="Bookman Old Style" w:hAnsi="Bookman Old Style"/>
                <w:i/>
                <w:color w:val="000000"/>
              </w:rPr>
            </w:pPr>
          </w:p>
          <w:p w:rsidR="00F07B8A" w:rsidRDefault="00F07B8A" w:rsidP="00F07B8A">
            <w:pPr>
              <w:jc w:val="both"/>
              <w:rPr>
                <w:rFonts w:ascii="Bookman Old Style" w:hAnsi="Bookman Old Style"/>
                <w:i/>
                <w:color w:val="000000"/>
              </w:rPr>
            </w:pPr>
          </w:p>
          <w:p w:rsidR="00E64C89" w:rsidRPr="000778A2" w:rsidRDefault="00E64C89" w:rsidP="00F07B8A">
            <w:pPr>
              <w:jc w:val="both"/>
              <w:rPr>
                <w:rFonts w:ascii="Bookman Old Style" w:hAnsi="Bookman Old Style"/>
                <w:i/>
                <w:color w:val="000000"/>
              </w:rPr>
            </w:pPr>
          </w:p>
          <w:p w:rsidR="008223D5" w:rsidRDefault="008223D5" w:rsidP="00F07B8A">
            <w:pPr>
              <w:jc w:val="both"/>
              <w:rPr>
                <w:rFonts w:ascii="Bookman Old Style" w:hAnsi="Bookman Old Style"/>
                <w:i/>
                <w:color w:val="000000"/>
              </w:rPr>
            </w:pPr>
          </w:p>
          <w:p w:rsidR="00F07B8A" w:rsidRPr="000778A2" w:rsidRDefault="00F07B8A" w:rsidP="00F07B8A">
            <w:pPr>
              <w:jc w:val="both"/>
              <w:rPr>
                <w:rFonts w:ascii="Bookman Old Style" w:hAnsi="Bookman Old Style"/>
                <w:i/>
                <w:color w:val="000000"/>
              </w:rPr>
            </w:pPr>
            <w:r w:rsidRPr="000778A2">
              <w:rPr>
                <w:rFonts w:ascii="Bookman Old Style" w:hAnsi="Bookman Old Style"/>
                <w:i/>
                <w:color w:val="000000"/>
              </w:rPr>
              <w:t xml:space="preserve">La lettera d) riguarda </w:t>
            </w:r>
            <w:r w:rsidR="008223D5">
              <w:rPr>
                <w:rFonts w:ascii="Bookman Old Style" w:hAnsi="Bookman Old Style"/>
                <w:i/>
                <w:color w:val="000000"/>
              </w:rPr>
              <w:t>il riferimento ai “</w:t>
            </w:r>
            <w:r w:rsidRPr="000778A2">
              <w:rPr>
                <w:rFonts w:ascii="Bookman Old Style" w:hAnsi="Bookman Old Style"/>
                <w:i/>
                <w:color w:val="000000"/>
              </w:rPr>
              <w:t>sistemi di rilevazione</w:t>
            </w:r>
            <w:r w:rsidR="008223D5">
              <w:rPr>
                <w:rFonts w:ascii="Bookman Old Style" w:hAnsi="Bookman Old Style"/>
                <w:i/>
                <w:color w:val="000000"/>
              </w:rPr>
              <w:t xml:space="preserve"> delle informazioni”, in luogo dei questionari; viene inoltre esteso agli “enti locali” il campo di applicabilità delle richieste di informazioni, comprendendovi evid</w:t>
            </w:r>
            <w:r w:rsidR="00004FCE">
              <w:rPr>
                <w:rFonts w:ascii="Bookman Old Style" w:hAnsi="Bookman Old Style"/>
                <w:i/>
                <w:color w:val="000000"/>
              </w:rPr>
              <w:t>entemente le forme associative, in particolare le Unioni, da TUEL (art.31), ma anche i consorzi, secondo consolidata giurisprudenza (CCass n. 3971/2002)</w:t>
            </w:r>
            <w:r w:rsidRPr="000778A2">
              <w:rPr>
                <w:rFonts w:ascii="Bookman Old Style" w:hAnsi="Bookman Old Style"/>
                <w:i/>
                <w:color w:val="000000"/>
              </w:rPr>
              <w:t>.</w:t>
            </w:r>
          </w:p>
          <w:p w:rsidR="00004FCE" w:rsidRDefault="00004FCE" w:rsidP="00F07B8A">
            <w:pPr>
              <w:jc w:val="both"/>
              <w:rPr>
                <w:rFonts w:ascii="Bookman Old Style" w:hAnsi="Bookman Old Style"/>
                <w:i/>
                <w:color w:val="000000"/>
              </w:rPr>
            </w:pPr>
          </w:p>
          <w:p w:rsidR="00F07B8A" w:rsidRPr="000778A2" w:rsidRDefault="00F07B8A" w:rsidP="00F07B8A">
            <w:pPr>
              <w:jc w:val="both"/>
              <w:rPr>
                <w:rFonts w:ascii="Bookman Old Style" w:eastAsia="Times New Roman" w:hAnsi="Bookman Old Style" w:cs="Arial"/>
                <w:i/>
                <w:iCs/>
                <w:lang w:eastAsia="it-IT"/>
              </w:rPr>
            </w:pPr>
            <w:r w:rsidRPr="000778A2">
              <w:rPr>
                <w:rFonts w:ascii="Bookman Old Style" w:hAnsi="Bookman Old Style"/>
                <w:i/>
                <w:color w:val="000000"/>
              </w:rPr>
              <w:t>La lettera e) integra il D.Lgs 216/2010 con il riferimento normativo di cui alla Legge di stabilità 2016 che ha disposto la sostituzione del Commissione tecnica paritetica per l'attuazione del federalismo fiscale con la nuova</w:t>
            </w:r>
            <w:r>
              <w:rPr>
                <w:rFonts w:ascii="Bookman Old Style" w:hAnsi="Bookman Old Style"/>
                <w:i/>
                <w:color w:val="000000"/>
              </w:rPr>
              <w:t xml:space="preserve"> </w:t>
            </w:r>
            <w:r w:rsidRPr="000778A2">
              <w:rPr>
                <w:rFonts w:ascii="Bookman Old Style" w:eastAsia="Times New Roman" w:hAnsi="Bookman Old Style" w:cs="Arial"/>
                <w:i/>
                <w:lang w:eastAsia="it-IT"/>
              </w:rPr>
              <w:t>Commissione tecnica per i fabbisogni </w:t>
            </w:r>
            <w:r w:rsidRPr="000778A2">
              <w:rPr>
                <w:rFonts w:ascii="Bookman Old Style" w:eastAsia="Times New Roman" w:hAnsi="Bookman Old Style" w:cs="Arial"/>
                <w:i/>
                <w:iCs/>
                <w:lang w:eastAsia="it-IT"/>
              </w:rPr>
              <w:t>standard.</w:t>
            </w:r>
          </w:p>
          <w:p w:rsidR="00F07B8A" w:rsidRPr="000778A2" w:rsidRDefault="00F07B8A" w:rsidP="00F07B8A">
            <w:pPr>
              <w:jc w:val="both"/>
              <w:rPr>
                <w:rFonts w:ascii="Bookman Old Style" w:eastAsia="Times New Roman" w:hAnsi="Bookman Old Style" w:cs="Arial"/>
                <w:i/>
                <w:iCs/>
                <w:lang w:eastAsia="it-IT"/>
              </w:rPr>
            </w:pPr>
          </w:p>
          <w:p w:rsidR="00F07B8A" w:rsidRPr="000778A2" w:rsidRDefault="00F07B8A" w:rsidP="00F07B8A">
            <w:pPr>
              <w:jc w:val="both"/>
              <w:rPr>
                <w:rFonts w:ascii="Bookman Old Style" w:hAnsi="Bookman Old Style"/>
                <w:i/>
                <w:color w:val="000000"/>
              </w:rPr>
            </w:pPr>
            <w:r w:rsidRPr="000778A2">
              <w:rPr>
                <w:rFonts w:ascii="Bookman Old Style" w:eastAsia="Times New Roman" w:hAnsi="Bookman Old Style" w:cs="Arial"/>
                <w:i/>
                <w:iCs/>
                <w:lang w:eastAsia="it-IT"/>
              </w:rPr>
              <w:t>La lettera f) amplia</w:t>
            </w:r>
            <w:r w:rsidR="00004FCE">
              <w:rPr>
                <w:rFonts w:ascii="Bookman Old Style" w:eastAsia="Times New Roman" w:hAnsi="Bookman Old Style" w:cs="Arial"/>
                <w:i/>
                <w:iCs/>
                <w:lang w:eastAsia="it-IT"/>
              </w:rPr>
              <w:t xml:space="preserve"> </w:t>
            </w:r>
            <w:r w:rsidRPr="000778A2">
              <w:rPr>
                <w:rFonts w:ascii="Bookman Old Style" w:eastAsia="Times New Roman" w:hAnsi="Bookman Old Style" w:cs="Arial"/>
                <w:i/>
                <w:iCs/>
                <w:lang w:eastAsia="it-IT"/>
              </w:rPr>
              <w:t xml:space="preserve">le modalità di pubblicazione dei dati: la divulgazione dei risultati, oltre che nelle banche dati delle amministrazioni pubbliche, viene veicolata anche tramite il sito </w:t>
            </w:r>
            <w:hyperlink r:id="rId57" w:history="1">
              <w:r w:rsidRPr="000778A2">
                <w:rPr>
                  <w:rStyle w:val="Collegamentoipertestuale"/>
                  <w:rFonts w:ascii="Bookman Old Style" w:eastAsia="Times New Roman" w:hAnsi="Bookman Old Style" w:cs="Arial"/>
                  <w:i/>
                  <w:iCs/>
                  <w:lang w:eastAsia="it-IT"/>
                </w:rPr>
                <w:t>www.opencivitas.it</w:t>
              </w:r>
            </w:hyperlink>
            <w:r w:rsidRPr="000778A2">
              <w:rPr>
                <w:rFonts w:ascii="Bookman Old Style" w:eastAsia="Times New Roman" w:hAnsi="Bookman Old Style" w:cs="Arial"/>
                <w:i/>
                <w:iCs/>
                <w:lang w:eastAsia="it-IT"/>
              </w:rPr>
              <w:t xml:space="preserve"> consultabile sia dagli Enti locali che dai cittadini.</w:t>
            </w:r>
          </w:p>
        </w:tc>
      </w:tr>
      <w:tr w:rsidR="00F07B8A" w:rsidTr="00086B81">
        <w:trPr>
          <w:gridAfter w:val="1"/>
          <w:wAfter w:w="150" w:type="dxa"/>
        </w:trPr>
        <w:tc>
          <w:tcPr>
            <w:tcW w:w="7138" w:type="dxa"/>
          </w:tcPr>
          <w:p w:rsidR="00F07B8A" w:rsidRPr="00D4757C" w:rsidRDefault="00F07B8A" w:rsidP="00F07B8A">
            <w:pPr>
              <w:shd w:val="clear" w:color="auto" w:fill="FFFFFF"/>
              <w:jc w:val="both"/>
              <w:rPr>
                <w:rFonts w:ascii="Bookman Old Style" w:eastAsia="Times New Roman" w:hAnsi="Bookman Old Style" w:cs="Arial"/>
                <w:b/>
                <w:shd w:val="clear" w:color="auto" w:fill="FFFFFF"/>
                <w:lang w:eastAsia="it-IT"/>
              </w:rPr>
            </w:pPr>
            <w:r w:rsidRPr="00D4757C">
              <w:rPr>
                <w:rFonts w:ascii="Bookman Old Style" w:eastAsia="Times New Roman" w:hAnsi="Bookman Old Style" w:cs="Arial"/>
                <w:b/>
                <w:shd w:val="clear" w:color="auto" w:fill="FFFFFF"/>
                <w:lang w:eastAsia="it-IT"/>
              </w:rPr>
              <w:lastRenderedPageBreak/>
              <w:t>459. All’ar</w:t>
            </w:r>
            <w:r>
              <w:rPr>
                <w:rFonts w:ascii="Bookman Old Style" w:eastAsia="Times New Roman" w:hAnsi="Bookman Old Style" w:cs="Arial"/>
                <w:b/>
                <w:shd w:val="clear" w:color="auto" w:fill="FFFFFF"/>
                <w:lang w:eastAsia="it-IT"/>
              </w:rPr>
              <w:t xml:space="preserve">ticolo 47, comma 9, lettera a), </w:t>
            </w:r>
            <w:r w:rsidRPr="00D4757C">
              <w:rPr>
                <w:rFonts w:ascii="Bookman Old Style" w:eastAsia="Times New Roman" w:hAnsi="Bookman Old Style" w:cs="Arial"/>
                <w:b/>
                <w:shd w:val="clear" w:color="auto" w:fill="FFFFFF"/>
                <w:lang w:eastAsia="it-IT"/>
              </w:rPr>
              <w:t>del decre</w:t>
            </w:r>
            <w:r>
              <w:rPr>
                <w:rFonts w:ascii="Bookman Old Style" w:eastAsia="Times New Roman" w:hAnsi="Bookman Old Style" w:cs="Arial"/>
                <w:b/>
                <w:shd w:val="clear" w:color="auto" w:fill="FFFFFF"/>
                <w:lang w:eastAsia="it-IT"/>
              </w:rPr>
              <w:t xml:space="preserve">to-legge 24 aprile 2014, n. 66, </w:t>
            </w:r>
            <w:r w:rsidRPr="00D4757C">
              <w:rPr>
                <w:rFonts w:ascii="Bookman Old Style" w:eastAsia="Times New Roman" w:hAnsi="Bookman Old Style" w:cs="Arial"/>
                <w:b/>
                <w:shd w:val="clear" w:color="auto" w:fill="FFFFFF"/>
                <w:lang w:eastAsia="it-IT"/>
              </w:rPr>
              <w:t>convertito, con modific</w:t>
            </w:r>
            <w:r>
              <w:rPr>
                <w:rFonts w:ascii="Bookman Old Style" w:eastAsia="Times New Roman" w:hAnsi="Bookman Old Style" w:cs="Arial"/>
                <w:b/>
                <w:shd w:val="clear" w:color="auto" w:fill="FFFFFF"/>
                <w:lang w:eastAsia="it-IT"/>
              </w:rPr>
              <w:t xml:space="preserve">azioni, dalla legge </w:t>
            </w:r>
            <w:r w:rsidRPr="00D4757C">
              <w:rPr>
                <w:rFonts w:ascii="Bookman Old Style" w:eastAsia="Times New Roman" w:hAnsi="Bookman Old Style" w:cs="Arial"/>
                <w:b/>
                <w:shd w:val="clear" w:color="auto" w:fill="FFFFFF"/>
                <w:lang w:eastAsia="it-IT"/>
              </w:rPr>
              <w:t>23 giug</w:t>
            </w:r>
            <w:r>
              <w:rPr>
                <w:rFonts w:ascii="Bookman Old Style" w:eastAsia="Times New Roman" w:hAnsi="Bookman Old Style" w:cs="Arial"/>
                <w:b/>
                <w:shd w:val="clear" w:color="auto" w:fill="FFFFFF"/>
                <w:lang w:eastAsia="it-IT"/>
              </w:rPr>
              <w:t>no</w:t>
            </w:r>
            <w:r w:rsidR="00004FCE">
              <w:rPr>
                <w:rFonts w:ascii="Bookman Old Style" w:eastAsia="Times New Roman" w:hAnsi="Bookman Old Style" w:cs="Arial"/>
                <w:b/>
                <w:shd w:val="clear" w:color="auto" w:fill="FFFFFF"/>
                <w:lang w:eastAsia="it-IT"/>
              </w:rPr>
              <w:t xml:space="preserve"> 2014, n. 89, dopo le parole: «</w:t>
            </w:r>
            <w:r>
              <w:rPr>
                <w:rFonts w:ascii="Bookman Old Style" w:eastAsia="Times New Roman" w:hAnsi="Bookman Old Style" w:cs="Arial"/>
                <w:b/>
                <w:shd w:val="clear" w:color="auto" w:fill="FFFFFF"/>
                <w:lang w:eastAsia="it-IT"/>
              </w:rPr>
              <w:t xml:space="preserve">relativa ai codici SIOPE indicati nella </w:t>
            </w:r>
            <w:r w:rsidRPr="00D4757C">
              <w:rPr>
                <w:rFonts w:ascii="Bookman Old Style" w:eastAsia="Times New Roman" w:hAnsi="Bookman Old Style" w:cs="Arial"/>
                <w:b/>
                <w:shd w:val="clear" w:color="auto" w:fill="FFFFFF"/>
                <w:lang w:eastAsia="it-IT"/>
              </w:rPr>
              <w:t xml:space="preserve">tabella A </w:t>
            </w:r>
            <w:r w:rsidR="00004FCE">
              <w:rPr>
                <w:rFonts w:ascii="Bookman Old Style" w:eastAsia="Times New Roman" w:hAnsi="Bookman Old Style" w:cs="Arial"/>
                <w:b/>
                <w:shd w:val="clear" w:color="auto" w:fill="FFFFFF"/>
                <w:lang w:eastAsia="it-IT"/>
              </w:rPr>
              <w:t>allegata al presente decreto.</w:t>
            </w:r>
            <w:r>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 xml:space="preserve">sono inseriti i </w:t>
            </w:r>
            <w:r>
              <w:rPr>
                <w:rFonts w:ascii="Bookman Old Style" w:eastAsia="Times New Roman" w:hAnsi="Bookman Old Style" w:cs="Arial"/>
                <w:b/>
                <w:shd w:val="clear" w:color="auto" w:fill="FFFFFF"/>
                <w:lang w:eastAsia="it-IT"/>
              </w:rPr>
              <w:t xml:space="preserve">seguenti periodi: « A decorrere </w:t>
            </w:r>
            <w:r w:rsidRPr="00D4757C">
              <w:rPr>
                <w:rFonts w:ascii="Bookman Old Style" w:eastAsia="Times New Roman" w:hAnsi="Bookman Old Style" w:cs="Arial"/>
                <w:b/>
                <w:shd w:val="clear" w:color="auto" w:fill="FFFFFF"/>
                <w:lang w:eastAsia="it-IT"/>
              </w:rPr>
              <w:t xml:space="preserve">dall’anno </w:t>
            </w:r>
            <w:r>
              <w:rPr>
                <w:rFonts w:ascii="Bookman Old Style" w:eastAsia="Times New Roman" w:hAnsi="Bookman Old Style" w:cs="Arial"/>
                <w:b/>
                <w:shd w:val="clear" w:color="auto" w:fill="FFFFFF"/>
                <w:lang w:eastAsia="it-IT"/>
              </w:rPr>
              <w:t xml:space="preserve">2018, qualora la spesa relativa </w:t>
            </w:r>
            <w:r w:rsidRPr="00D4757C">
              <w:rPr>
                <w:rFonts w:ascii="Bookman Old Style" w:eastAsia="Times New Roman" w:hAnsi="Bookman Old Style" w:cs="Arial"/>
                <w:b/>
                <w:shd w:val="clear" w:color="auto" w:fill="FFFFFF"/>
                <w:lang w:eastAsia="it-IT"/>
              </w:rPr>
              <w:t xml:space="preserve">ai codici SIOPE di cui </w:t>
            </w:r>
            <w:r>
              <w:rPr>
                <w:rFonts w:ascii="Bookman Old Style" w:eastAsia="Times New Roman" w:hAnsi="Bookman Old Style" w:cs="Arial"/>
                <w:b/>
                <w:shd w:val="clear" w:color="auto" w:fill="FFFFFF"/>
                <w:lang w:eastAsia="it-IT"/>
              </w:rPr>
              <w:t xml:space="preserve">alla tabella A </w:t>
            </w:r>
            <w:r w:rsidRPr="00D4757C">
              <w:rPr>
                <w:rFonts w:ascii="Bookman Old Style" w:eastAsia="Times New Roman" w:hAnsi="Bookman Old Style" w:cs="Arial"/>
                <w:b/>
                <w:shd w:val="clear" w:color="auto" w:fill="FFFFFF"/>
                <w:lang w:eastAsia="it-IT"/>
              </w:rPr>
              <w:t>sia stata sostenuta da comuni che gestiscono,</w:t>
            </w:r>
            <w:r>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in quanto capofila, funzioni e servizi</w:t>
            </w:r>
            <w:r>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in forma</w:t>
            </w:r>
            <w:r>
              <w:rPr>
                <w:rFonts w:ascii="Bookman Old Style" w:eastAsia="Times New Roman" w:hAnsi="Bookman Old Style" w:cs="Arial"/>
                <w:b/>
                <w:shd w:val="clear" w:color="auto" w:fill="FFFFFF"/>
                <w:lang w:eastAsia="it-IT"/>
              </w:rPr>
              <w:t xml:space="preserve"> associata per conto dei comuni </w:t>
            </w:r>
            <w:r w:rsidRPr="00D4757C">
              <w:rPr>
                <w:rFonts w:ascii="Bookman Old Style" w:eastAsia="Times New Roman" w:hAnsi="Bookman Old Style" w:cs="Arial"/>
                <w:b/>
                <w:shd w:val="clear" w:color="auto" w:fill="FFFFFF"/>
                <w:lang w:eastAsia="it-IT"/>
              </w:rPr>
              <w:t>facenti parte d</w:t>
            </w:r>
            <w:r>
              <w:rPr>
                <w:rFonts w:ascii="Bookman Old Style" w:eastAsia="Times New Roman" w:hAnsi="Bookman Old Style" w:cs="Arial"/>
                <w:b/>
                <w:shd w:val="clear" w:color="auto" w:fill="FFFFFF"/>
                <w:lang w:eastAsia="it-IT"/>
              </w:rPr>
              <w:t xml:space="preserve">ella stessa gestione associata, </w:t>
            </w:r>
            <w:r w:rsidRPr="00D4757C">
              <w:rPr>
                <w:rFonts w:ascii="Bookman Old Style" w:eastAsia="Times New Roman" w:hAnsi="Bookman Old Style" w:cs="Arial"/>
                <w:b/>
                <w:shd w:val="clear" w:color="auto" w:fill="FFFFFF"/>
                <w:lang w:eastAsia="it-IT"/>
              </w:rPr>
              <w:t>le riduzio</w:t>
            </w:r>
            <w:r>
              <w:rPr>
                <w:rFonts w:ascii="Bookman Old Style" w:eastAsia="Times New Roman" w:hAnsi="Bookman Old Style" w:cs="Arial"/>
                <w:b/>
                <w:shd w:val="clear" w:color="auto" w:fill="FFFFFF"/>
                <w:lang w:eastAsia="it-IT"/>
              </w:rPr>
              <w:t xml:space="preserve">ni di cui alla presente lettera </w:t>
            </w:r>
            <w:r w:rsidRPr="00D4757C">
              <w:rPr>
                <w:rFonts w:ascii="Bookman Old Style" w:eastAsia="Times New Roman" w:hAnsi="Bookman Old Style" w:cs="Arial"/>
                <w:b/>
                <w:shd w:val="clear" w:color="auto" w:fill="FFFFFF"/>
                <w:lang w:eastAsia="it-IT"/>
              </w:rPr>
              <w:t>sono applicate a tutti i comuni com</w:t>
            </w:r>
            <w:r>
              <w:rPr>
                <w:rFonts w:ascii="Bookman Old Style" w:eastAsia="Times New Roman" w:hAnsi="Bookman Old Style" w:cs="Arial"/>
                <w:b/>
                <w:shd w:val="clear" w:color="auto" w:fill="FFFFFF"/>
                <w:lang w:eastAsia="it-IT"/>
              </w:rPr>
              <w:t xml:space="preserve">presi nella gestione associata, proporzionalmente </w:t>
            </w:r>
            <w:r w:rsidRPr="00D4757C">
              <w:rPr>
                <w:rFonts w:ascii="Bookman Old Style" w:eastAsia="Times New Roman" w:hAnsi="Bookman Old Style" w:cs="Arial"/>
                <w:b/>
                <w:shd w:val="clear" w:color="auto" w:fill="FFFFFF"/>
                <w:lang w:eastAsia="it-IT"/>
              </w:rPr>
              <w:t>alla quo</w:t>
            </w:r>
            <w:r>
              <w:rPr>
                <w:rFonts w:ascii="Bookman Old Style" w:eastAsia="Times New Roman" w:hAnsi="Bookman Old Style" w:cs="Arial"/>
                <w:b/>
                <w:shd w:val="clear" w:color="auto" w:fill="FFFFFF"/>
                <w:lang w:eastAsia="it-IT"/>
              </w:rPr>
              <w:t xml:space="preserve">ta di spesa ad essi riferibile. </w:t>
            </w:r>
            <w:r w:rsidRPr="00D4757C">
              <w:rPr>
                <w:rFonts w:ascii="Bookman Old Style" w:eastAsia="Times New Roman" w:hAnsi="Bookman Old Style" w:cs="Arial"/>
                <w:b/>
                <w:shd w:val="clear" w:color="auto" w:fill="FFFFFF"/>
                <w:lang w:eastAsia="it-IT"/>
              </w:rPr>
              <w:t xml:space="preserve">A tal </w:t>
            </w:r>
            <w:r>
              <w:rPr>
                <w:rFonts w:ascii="Bookman Old Style" w:eastAsia="Times New Roman" w:hAnsi="Bookman Old Style" w:cs="Arial"/>
                <w:b/>
                <w:shd w:val="clear" w:color="auto" w:fill="FFFFFF"/>
                <w:lang w:eastAsia="it-IT"/>
              </w:rPr>
              <w:t xml:space="preserve">fine, la regione acquisisce dal </w:t>
            </w:r>
            <w:r w:rsidRPr="00D4757C">
              <w:rPr>
                <w:rFonts w:ascii="Bookman Old Style" w:eastAsia="Times New Roman" w:hAnsi="Bookman Old Style" w:cs="Arial"/>
                <w:b/>
                <w:shd w:val="clear" w:color="auto" w:fill="FFFFFF"/>
                <w:lang w:eastAsia="it-IT"/>
              </w:rPr>
              <w:t>comune</w:t>
            </w:r>
            <w:r>
              <w:rPr>
                <w:rFonts w:ascii="Bookman Old Style" w:eastAsia="Times New Roman" w:hAnsi="Bookman Old Style" w:cs="Arial"/>
                <w:b/>
                <w:shd w:val="clear" w:color="auto" w:fill="FFFFFF"/>
                <w:lang w:eastAsia="it-IT"/>
              </w:rPr>
              <w:t xml:space="preserve"> capofila idonea certificazione </w:t>
            </w:r>
            <w:r w:rsidRPr="00D4757C">
              <w:rPr>
                <w:rFonts w:ascii="Bookman Old Style" w:eastAsia="Times New Roman" w:hAnsi="Bookman Old Style" w:cs="Arial"/>
                <w:b/>
                <w:shd w:val="clear" w:color="auto" w:fill="FFFFFF"/>
                <w:lang w:eastAsia="it-IT"/>
              </w:rPr>
              <w:t>della quot</w:t>
            </w:r>
            <w:r>
              <w:rPr>
                <w:rFonts w:ascii="Bookman Old Style" w:eastAsia="Times New Roman" w:hAnsi="Bookman Old Style" w:cs="Arial"/>
                <w:b/>
                <w:shd w:val="clear" w:color="auto" w:fill="FFFFFF"/>
                <w:lang w:eastAsia="it-IT"/>
              </w:rPr>
              <w:t xml:space="preserve">a di spesa riferibile ai comuni </w:t>
            </w:r>
            <w:r w:rsidRPr="00D4757C">
              <w:rPr>
                <w:rFonts w:ascii="Bookman Old Style" w:eastAsia="Times New Roman" w:hAnsi="Bookman Old Style" w:cs="Arial"/>
                <w:b/>
                <w:shd w:val="clear" w:color="auto" w:fill="FFFFFF"/>
                <w:lang w:eastAsia="it-IT"/>
              </w:rPr>
              <w:t xml:space="preserve">facenti parte della gestione associata </w:t>
            </w:r>
            <w:r>
              <w:rPr>
                <w:rFonts w:ascii="Bookman Old Style" w:eastAsia="Times New Roman" w:hAnsi="Bookman Old Style" w:cs="Arial"/>
                <w:b/>
                <w:shd w:val="clear" w:color="auto" w:fill="FFFFFF"/>
                <w:lang w:eastAsia="it-IT"/>
              </w:rPr>
              <w:t xml:space="preserve">e la </w:t>
            </w:r>
            <w:r w:rsidRPr="00D4757C">
              <w:rPr>
                <w:rFonts w:ascii="Bookman Old Style" w:eastAsia="Times New Roman" w:hAnsi="Bookman Old Style" w:cs="Arial"/>
                <w:b/>
                <w:shd w:val="clear" w:color="auto" w:fill="FFFFFF"/>
                <w:lang w:eastAsia="it-IT"/>
              </w:rPr>
              <w:t>trasmette, entro il</w:t>
            </w:r>
            <w:r>
              <w:rPr>
                <w:rFonts w:ascii="Bookman Old Style" w:eastAsia="Times New Roman" w:hAnsi="Bookman Old Style" w:cs="Arial"/>
                <w:b/>
                <w:shd w:val="clear" w:color="auto" w:fill="FFFFFF"/>
                <w:lang w:eastAsia="it-IT"/>
              </w:rPr>
              <w:t xml:space="preserve"> 30 aprile dell’anno precedente </w:t>
            </w:r>
            <w:r w:rsidRPr="00D4757C">
              <w:rPr>
                <w:rFonts w:ascii="Bookman Old Style" w:eastAsia="Times New Roman" w:hAnsi="Bookman Old Style" w:cs="Arial"/>
                <w:b/>
                <w:shd w:val="clear" w:color="auto" w:fill="FFFFFF"/>
                <w:lang w:eastAsia="it-IT"/>
              </w:rPr>
              <w:t>a quel</w:t>
            </w:r>
            <w:r>
              <w:rPr>
                <w:rFonts w:ascii="Bookman Old Style" w:eastAsia="Times New Roman" w:hAnsi="Bookman Old Style" w:cs="Arial"/>
                <w:b/>
                <w:shd w:val="clear" w:color="auto" w:fill="FFFFFF"/>
                <w:lang w:eastAsia="it-IT"/>
              </w:rPr>
              <w:t xml:space="preserve">lo di riferimento, al Ministero </w:t>
            </w:r>
            <w:r w:rsidRPr="00D4757C">
              <w:rPr>
                <w:rFonts w:ascii="Bookman Old Style" w:eastAsia="Times New Roman" w:hAnsi="Bookman Old Style" w:cs="Arial"/>
                <w:b/>
                <w:shd w:val="clear" w:color="auto" w:fill="FFFFFF"/>
                <w:lang w:eastAsia="it-IT"/>
              </w:rPr>
              <w:t>del</w:t>
            </w:r>
            <w:r>
              <w:rPr>
                <w:rFonts w:ascii="Bookman Old Style" w:eastAsia="Times New Roman" w:hAnsi="Bookman Old Style" w:cs="Arial"/>
                <w:b/>
                <w:shd w:val="clear" w:color="auto" w:fill="FFFFFF"/>
                <w:lang w:eastAsia="it-IT"/>
              </w:rPr>
              <w:t xml:space="preserve">l’economia e delle finanze e al </w:t>
            </w:r>
            <w:r w:rsidRPr="00D4757C">
              <w:rPr>
                <w:rFonts w:ascii="Bookman Old Style" w:eastAsia="Times New Roman" w:hAnsi="Bookman Old Style" w:cs="Arial"/>
                <w:b/>
                <w:shd w:val="clear" w:color="auto" w:fill="FFFFFF"/>
                <w:lang w:eastAsia="it-IT"/>
              </w:rPr>
              <w:t>Ministe</w:t>
            </w:r>
            <w:r>
              <w:rPr>
                <w:rFonts w:ascii="Bookman Old Style" w:eastAsia="Times New Roman" w:hAnsi="Bookman Old Style" w:cs="Arial"/>
                <w:b/>
                <w:shd w:val="clear" w:color="auto" w:fill="FFFFFF"/>
                <w:lang w:eastAsia="it-IT"/>
              </w:rPr>
              <w:t xml:space="preserve">ro dell’interno, che ne tengono </w:t>
            </w:r>
            <w:r w:rsidRPr="00D4757C">
              <w:rPr>
                <w:rFonts w:ascii="Bookman Old Style" w:eastAsia="Times New Roman" w:hAnsi="Bookman Old Style" w:cs="Arial"/>
                <w:b/>
                <w:shd w:val="clear" w:color="auto" w:fill="FFFFFF"/>
                <w:lang w:eastAsia="it-IT"/>
              </w:rPr>
              <w:t>conto in sede</w:t>
            </w:r>
            <w:r>
              <w:rPr>
                <w:rFonts w:ascii="Bookman Old Style" w:eastAsia="Times New Roman" w:hAnsi="Bookman Old Style" w:cs="Arial"/>
                <w:b/>
                <w:shd w:val="clear" w:color="auto" w:fill="FFFFFF"/>
                <w:lang w:eastAsia="it-IT"/>
              </w:rPr>
              <w:t xml:space="preserve"> di predisposizione del decreto </w:t>
            </w:r>
            <w:r w:rsidRPr="00D4757C">
              <w:rPr>
                <w:rFonts w:ascii="Bookman Old Style" w:eastAsia="Times New Roman" w:hAnsi="Bookman Old Style" w:cs="Arial"/>
                <w:b/>
                <w:shd w:val="clear" w:color="auto" w:fill="FFFFFF"/>
                <w:lang w:eastAsia="it-IT"/>
              </w:rPr>
              <w:t>annua</w:t>
            </w:r>
            <w:r>
              <w:rPr>
                <w:rFonts w:ascii="Bookman Old Style" w:eastAsia="Times New Roman" w:hAnsi="Bookman Old Style" w:cs="Arial"/>
                <w:b/>
                <w:shd w:val="clear" w:color="auto" w:fill="FFFFFF"/>
                <w:lang w:eastAsia="it-IT"/>
              </w:rPr>
              <w:t xml:space="preserve">le del Presidente del Consiglio </w:t>
            </w:r>
            <w:r w:rsidRPr="00D4757C">
              <w:rPr>
                <w:rFonts w:ascii="Bookman Old Style" w:eastAsia="Times New Roman" w:hAnsi="Bookman Old Style" w:cs="Arial"/>
                <w:b/>
                <w:shd w:val="clear" w:color="auto" w:fill="FFFFFF"/>
                <w:lang w:eastAsia="it-IT"/>
              </w:rPr>
              <w:t>dei min</w:t>
            </w:r>
            <w:r>
              <w:rPr>
                <w:rFonts w:ascii="Bookman Old Style" w:eastAsia="Times New Roman" w:hAnsi="Bookman Old Style" w:cs="Arial"/>
                <w:b/>
                <w:shd w:val="clear" w:color="auto" w:fill="FFFFFF"/>
                <w:lang w:eastAsia="it-IT"/>
              </w:rPr>
              <w:t xml:space="preserve">istri per la determinazione del </w:t>
            </w:r>
            <w:r w:rsidRPr="00D4757C">
              <w:rPr>
                <w:rFonts w:ascii="Bookman Old Style" w:eastAsia="Times New Roman" w:hAnsi="Bookman Old Style" w:cs="Arial"/>
                <w:b/>
                <w:shd w:val="clear" w:color="auto" w:fill="FFFFFF"/>
                <w:lang w:eastAsia="it-IT"/>
              </w:rPr>
              <w:t>Fondo di s</w:t>
            </w:r>
            <w:r>
              <w:rPr>
                <w:rFonts w:ascii="Bookman Old Style" w:eastAsia="Times New Roman" w:hAnsi="Bookman Old Style" w:cs="Arial"/>
                <w:b/>
                <w:shd w:val="clear" w:color="auto" w:fill="FFFFFF"/>
                <w:lang w:eastAsia="it-IT"/>
              </w:rPr>
              <w:t xml:space="preserve">olidarietà comunale. In caso di </w:t>
            </w:r>
            <w:r w:rsidRPr="00D4757C">
              <w:rPr>
                <w:rFonts w:ascii="Bookman Old Style" w:eastAsia="Times New Roman" w:hAnsi="Bookman Old Style" w:cs="Arial"/>
                <w:b/>
                <w:shd w:val="clear" w:color="auto" w:fill="FFFFFF"/>
                <w:lang w:eastAsia="it-IT"/>
              </w:rPr>
              <w:t>mancata comun</w:t>
            </w:r>
            <w:r>
              <w:rPr>
                <w:rFonts w:ascii="Bookman Old Style" w:eastAsia="Times New Roman" w:hAnsi="Bookman Old Style" w:cs="Arial"/>
                <w:b/>
                <w:shd w:val="clear" w:color="auto" w:fill="FFFFFF"/>
                <w:lang w:eastAsia="it-IT"/>
              </w:rPr>
              <w:t xml:space="preserve">icazione da parte della regione </w:t>
            </w:r>
            <w:r w:rsidRPr="00D4757C">
              <w:rPr>
                <w:rFonts w:ascii="Bookman Old Style" w:eastAsia="Times New Roman" w:hAnsi="Bookman Old Style" w:cs="Arial"/>
                <w:b/>
                <w:shd w:val="clear" w:color="auto" w:fill="FFFFFF"/>
                <w:lang w:eastAsia="it-IT"/>
              </w:rPr>
              <w:t>e</w:t>
            </w:r>
            <w:r>
              <w:rPr>
                <w:rFonts w:ascii="Bookman Old Style" w:eastAsia="Times New Roman" w:hAnsi="Bookman Old Style" w:cs="Arial"/>
                <w:b/>
                <w:shd w:val="clear" w:color="auto" w:fill="FFFFFF"/>
                <w:lang w:eastAsia="it-IT"/>
              </w:rPr>
              <w:t xml:space="preserve">ntro il predetto termine del 30 </w:t>
            </w:r>
            <w:r w:rsidRPr="00D4757C">
              <w:rPr>
                <w:rFonts w:ascii="Bookman Old Style" w:eastAsia="Times New Roman" w:hAnsi="Bookman Old Style" w:cs="Arial"/>
                <w:b/>
                <w:shd w:val="clear" w:color="auto" w:fill="FFFFFF"/>
                <w:lang w:eastAsia="it-IT"/>
              </w:rPr>
              <w:t>aprile, i</w:t>
            </w:r>
            <w:r>
              <w:rPr>
                <w:rFonts w:ascii="Bookman Old Style" w:eastAsia="Times New Roman" w:hAnsi="Bookman Old Style" w:cs="Arial"/>
                <w:b/>
                <w:shd w:val="clear" w:color="auto" w:fill="FFFFFF"/>
                <w:lang w:eastAsia="it-IT"/>
              </w:rPr>
              <w:t xml:space="preserve">l riparto non tiene conto della </w:t>
            </w:r>
            <w:r w:rsidRPr="00D4757C">
              <w:rPr>
                <w:rFonts w:ascii="Bookman Old Style" w:eastAsia="Times New Roman" w:hAnsi="Bookman Old Style" w:cs="Arial"/>
                <w:b/>
                <w:shd w:val="clear" w:color="auto" w:fill="FFFFFF"/>
                <w:lang w:eastAsia="it-IT"/>
              </w:rPr>
              <w:t>ripartiz</w:t>
            </w:r>
            <w:r>
              <w:rPr>
                <w:rFonts w:ascii="Bookman Old Style" w:eastAsia="Times New Roman" w:hAnsi="Bookman Old Style" w:cs="Arial"/>
                <w:b/>
                <w:shd w:val="clear" w:color="auto" w:fill="FFFFFF"/>
                <w:lang w:eastAsia="it-IT"/>
              </w:rPr>
              <w:t xml:space="preserve">ione proporzionale tra i comuni </w:t>
            </w:r>
            <w:r w:rsidRPr="00D4757C">
              <w:rPr>
                <w:rFonts w:ascii="Bookman Old Style" w:eastAsia="Times New Roman" w:hAnsi="Bookman Old Style" w:cs="Arial"/>
                <w:b/>
                <w:shd w:val="clear" w:color="auto" w:fill="FFFFFF"/>
                <w:lang w:eastAsia="it-IT"/>
              </w:rPr>
              <w:t>compresi nella gestion</w:t>
            </w:r>
            <w:r>
              <w:rPr>
                <w:rFonts w:ascii="Bookman Old Style" w:eastAsia="Times New Roman" w:hAnsi="Bookman Old Style" w:cs="Arial"/>
                <w:b/>
                <w:shd w:val="clear" w:color="auto" w:fill="FFFFFF"/>
                <w:lang w:eastAsia="it-IT"/>
              </w:rPr>
              <w:t xml:space="preserve">e associata; restano </w:t>
            </w:r>
            <w:r w:rsidRPr="00D4757C">
              <w:rPr>
                <w:rFonts w:ascii="Bookman Old Style" w:eastAsia="Times New Roman" w:hAnsi="Bookman Old Style" w:cs="Arial"/>
                <w:b/>
                <w:shd w:val="clear" w:color="auto" w:fill="FFFFFF"/>
                <w:lang w:eastAsia="it-IT"/>
              </w:rPr>
              <w:t>in tal caso co</w:t>
            </w:r>
            <w:r>
              <w:rPr>
                <w:rFonts w:ascii="Bookman Old Style" w:eastAsia="Times New Roman" w:hAnsi="Bookman Old Style" w:cs="Arial"/>
                <w:b/>
                <w:shd w:val="clear" w:color="auto" w:fill="FFFFFF"/>
                <w:lang w:eastAsia="it-IT"/>
              </w:rPr>
              <w:t xml:space="preserve">nfermate le modalità di riparto </w:t>
            </w:r>
            <w:r w:rsidRPr="00D4757C">
              <w:rPr>
                <w:rFonts w:ascii="Bookman Old Style" w:eastAsia="Times New Roman" w:hAnsi="Bookman Old Style" w:cs="Arial"/>
                <w:b/>
                <w:shd w:val="clear" w:color="auto" w:fill="FFFFFF"/>
                <w:lang w:eastAsia="it-IT"/>
              </w:rPr>
              <w:t>di cui al presente articolo ».</w:t>
            </w:r>
          </w:p>
        </w:tc>
        <w:tc>
          <w:tcPr>
            <w:tcW w:w="7139" w:type="dxa"/>
            <w:gridSpan w:val="3"/>
          </w:tcPr>
          <w:p w:rsidR="00F07B8A" w:rsidRDefault="00004FCE" w:rsidP="00004FCE">
            <w:pPr>
              <w:jc w:val="both"/>
              <w:rPr>
                <w:rFonts w:ascii="Bookman Old Style" w:hAnsi="Bookman Old Style"/>
                <w:i/>
                <w:color w:val="000000"/>
              </w:rPr>
            </w:pPr>
            <w:r>
              <w:rPr>
                <w:rFonts w:ascii="Bookman Old Style" w:hAnsi="Bookman Old Style"/>
                <w:i/>
                <w:color w:val="000000"/>
              </w:rPr>
              <w:t xml:space="preserve">Il </w:t>
            </w:r>
            <w:r w:rsidRPr="00E64C89">
              <w:rPr>
                <w:rFonts w:ascii="Bookman Old Style" w:hAnsi="Bookman Old Style"/>
                <w:b/>
                <w:i/>
                <w:color w:val="000000"/>
              </w:rPr>
              <w:t>comma 459</w:t>
            </w:r>
            <w:r>
              <w:rPr>
                <w:rFonts w:ascii="Bookman Old Style" w:hAnsi="Bookman Old Style"/>
                <w:i/>
                <w:color w:val="000000"/>
              </w:rPr>
              <w:t xml:space="preserve"> riformula il riparto del taglio di risorse (in forma di </w:t>
            </w:r>
            <w:r>
              <w:rPr>
                <w:rFonts w:ascii="Bookman Old Style" w:hAnsi="Bookman Old Style"/>
                <w:color w:val="000000"/>
              </w:rPr>
              <w:t>spending review</w:t>
            </w:r>
            <w:r>
              <w:rPr>
                <w:rFonts w:ascii="Bookman Old Style" w:hAnsi="Bookman Old Style"/>
                <w:i/>
                <w:color w:val="000000"/>
              </w:rPr>
              <w:t>) disposto con il dl n. 66 del 2014, disponendo che a decorrere dal 2018, ai fini del calcolo delle riduzioni di spesa, le spese registrate in SIOPE e sostenute da Comuni capofila di servizi gestiti in forma associata siano redistribuite tra i Comuni  associati, in proporzione della spesa ad essi riferibile.</w:t>
            </w:r>
          </w:p>
          <w:p w:rsidR="00472216" w:rsidRPr="00004FCE" w:rsidRDefault="00472216" w:rsidP="00472216">
            <w:pPr>
              <w:jc w:val="both"/>
              <w:rPr>
                <w:rFonts w:ascii="Bookman Old Style" w:hAnsi="Bookman Old Style"/>
                <w:i/>
                <w:color w:val="000000"/>
              </w:rPr>
            </w:pPr>
            <w:r>
              <w:rPr>
                <w:rFonts w:ascii="Bookman Old Style" w:hAnsi="Bookman Old Style"/>
                <w:i/>
                <w:color w:val="000000"/>
              </w:rPr>
              <w:t>Questa previsione rende necessaria nel corso del 2017 la rilevazione delle spese degli enti capofila di servizi gestiti in forma associata e dei dati relativi ai Comuni coinvolti nell’associazione e determinerà variazioni sul riparto del taglio ex dl 66/2014 (complessivamente circa 560 mln. di euro)  con riferimento ai soli Comuni in gestione associata.</w:t>
            </w:r>
          </w:p>
        </w:tc>
      </w:tr>
      <w:tr w:rsidR="00F07B8A" w:rsidTr="00086B81">
        <w:trPr>
          <w:gridAfter w:val="1"/>
          <w:wAfter w:w="150" w:type="dxa"/>
        </w:trPr>
        <w:tc>
          <w:tcPr>
            <w:tcW w:w="7138" w:type="dxa"/>
            <w:shd w:val="clear" w:color="auto" w:fill="auto"/>
          </w:tcPr>
          <w:p w:rsidR="00F07B8A" w:rsidRPr="00D4757C" w:rsidRDefault="00F07B8A" w:rsidP="00E61052">
            <w:pPr>
              <w:shd w:val="clear" w:color="auto" w:fill="FFFFFF"/>
              <w:jc w:val="both"/>
              <w:rPr>
                <w:rFonts w:ascii="Bookman Old Style" w:eastAsia="Times New Roman" w:hAnsi="Bookman Old Style" w:cs="Arial"/>
                <w:b/>
                <w:shd w:val="clear" w:color="auto" w:fill="FFFFFF"/>
                <w:lang w:eastAsia="it-IT"/>
              </w:rPr>
            </w:pPr>
            <w:r w:rsidRPr="00D4757C">
              <w:rPr>
                <w:rFonts w:ascii="Bookman Old Style" w:eastAsia="Times New Roman" w:hAnsi="Bookman Old Style" w:cs="Arial"/>
                <w:b/>
                <w:shd w:val="clear" w:color="auto" w:fill="FFFFFF"/>
                <w:lang w:eastAsia="it-IT"/>
              </w:rPr>
              <w:t>460. A d</w:t>
            </w:r>
            <w:r>
              <w:rPr>
                <w:rFonts w:ascii="Bookman Old Style" w:eastAsia="Times New Roman" w:hAnsi="Bookman Old Style" w:cs="Arial"/>
                <w:b/>
                <w:shd w:val="clear" w:color="auto" w:fill="FFFFFF"/>
                <w:lang w:eastAsia="it-IT"/>
              </w:rPr>
              <w:t xml:space="preserve">ecorrere dal 1° gennaio 2018, i </w:t>
            </w:r>
            <w:r w:rsidRPr="00D4757C">
              <w:rPr>
                <w:rFonts w:ascii="Bookman Old Style" w:eastAsia="Times New Roman" w:hAnsi="Bookman Old Style" w:cs="Arial"/>
                <w:b/>
                <w:shd w:val="clear" w:color="auto" w:fill="FFFFFF"/>
                <w:lang w:eastAsia="it-IT"/>
              </w:rPr>
              <w:t>proventi dei tit</w:t>
            </w:r>
            <w:r>
              <w:rPr>
                <w:rFonts w:ascii="Bookman Old Style" w:eastAsia="Times New Roman" w:hAnsi="Bookman Old Style" w:cs="Arial"/>
                <w:b/>
                <w:shd w:val="clear" w:color="auto" w:fill="FFFFFF"/>
                <w:lang w:eastAsia="it-IT"/>
              </w:rPr>
              <w:t xml:space="preserve">oli abilitativi edilizi e delle </w:t>
            </w:r>
            <w:r w:rsidRPr="00D4757C">
              <w:rPr>
                <w:rFonts w:ascii="Bookman Old Style" w:eastAsia="Times New Roman" w:hAnsi="Bookman Old Style" w:cs="Arial"/>
                <w:b/>
                <w:shd w:val="clear" w:color="auto" w:fill="FFFFFF"/>
                <w:lang w:eastAsia="it-IT"/>
              </w:rPr>
              <w:t>sanzioni pre</w:t>
            </w:r>
            <w:r>
              <w:rPr>
                <w:rFonts w:ascii="Bookman Old Style" w:eastAsia="Times New Roman" w:hAnsi="Bookman Old Style" w:cs="Arial"/>
                <w:b/>
                <w:shd w:val="clear" w:color="auto" w:fill="FFFFFF"/>
                <w:lang w:eastAsia="it-IT"/>
              </w:rPr>
              <w:t xml:space="preserve">viste dal testo unico di cui al </w:t>
            </w:r>
            <w:r w:rsidRPr="00D4757C">
              <w:rPr>
                <w:rFonts w:ascii="Bookman Old Style" w:eastAsia="Times New Roman" w:hAnsi="Bookman Old Style" w:cs="Arial"/>
                <w:b/>
                <w:shd w:val="clear" w:color="auto" w:fill="FFFFFF"/>
                <w:lang w:eastAsia="it-IT"/>
              </w:rPr>
              <w:t>decreto del Presidente d</w:t>
            </w:r>
            <w:r>
              <w:rPr>
                <w:rFonts w:ascii="Bookman Old Style" w:eastAsia="Times New Roman" w:hAnsi="Bookman Old Style" w:cs="Arial"/>
                <w:b/>
                <w:shd w:val="clear" w:color="auto" w:fill="FFFFFF"/>
                <w:lang w:eastAsia="it-IT"/>
              </w:rPr>
              <w:t xml:space="preserve">ella Repubblica 6 </w:t>
            </w:r>
            <w:r w:rsidRPr="00D4757C">
              <w:rPr>
                <w:rFonts w:ascii="Bookman Old Style" w:eastAsia="Times New Roman" w:hAnsi="Bookman Old Style" w:cs="Arial"/>
                <w:b/>
                <w:shd w:val="clear" w:color="auto" w:fill="FFFFFF"/>
                <w:lang w:eastAsia="it-IT"/>
              </w:rPr>
              <w:t xml:space="preserve">giugno </w:t>
            </w:r>
            <w:r w:rsidRPr="00D4757C">
              <w:rPr>
                <w:rFonts w:ascii="Bookman Old Style" w:eastAsia="Times New Roman" w:hAnsi="Bookman Old Style" w:cs="Arial"/>
                <w:b/>
                <w:shd w:val="clear" w:color="auto" w:fill="FFFFFF"/>
                <w:lang w:eastAsia="it-IT"/>
              </w:rPr>
              <w:lastRenderedPageBreak/>
              <w:t>2001, n. 380</w:t>
            </w:r>
            <w:r>
              <w:rPr>
                <w:rFonts w:ascii="Bookman Old Style" w:eastAsia="Times New Roman" w:hAnsi="Bookman Old Style" w:cs="Arial"/>
                <w:b/>
                <w:shd w:val="clear" w:color="auto" w:fill="FFFFFF"/>
                <w:lang w:eastAsia="it-IT"/>
              </w:rPr>
              <w:t xml:space="preserve">, sono destinati esclusivamente e senza vincoli temporali alla </w:t>
            </w:r>
            <w:r w:rsidRPr="00D4757C">
              <w:rPr>
                <w:rFonts w:ascii="Bookman Old Style" w:eastAsia="Times New Roman" w:hAnsi="Bookman Old Style" w:cs="Arial"/>
                <w:b/>
                <w:shd w:val="clear" w:color="auto" w:fill="FFFFFF"/>
                <w:lang w:eastAsia="it-IT"/>
              </w:rPr>
              <w:t>realizzazion</w:t>
            </w:r>
            <w:r>
              <w:rPr>
                <w:rFonts w:ascii="Bookman Old Style" w:eastAsia="Times New Roman" w:hAnsi="Bookman Old Style" w:cs="Arial"/>
                <w:b/>
                <w:shd w:val="clear" w:color="auto" w:fill="FFFFFF"/>
                <w:lang w:eastAsia="it-IT"/>
              </w:rPr>
              <w:t xml:space="preserve">e e alla manutenzione ordinaria </w:t>
            </w:r>
            <w:r w:rsidRPr="00D4757C">
              <w:rPr>
                <w:rFonts w:ascii="Bookman Old Style" w:eastAsia="Times New Roman" w:hAnsi="Bookman Old Style" w:cs="Arial"/>
                <w:b/>
                <w:shd w:val="clear" w:color="auto" w:fill="FFFFFF"/>
                <w:lang w:eastAsia="it-IT"/>
              </w:rPr>
              <w:t>e straordinari</w:t>
            </w:r>
            <w:r>
              <w:rPr>
                <w:rFonts w:ascii="Bookman Old Style" w:eastAsia="Times New Roman" w:hAnsi="Bookman Old Style" w:cs="Arial"/>
                <w:b/>
                <w:shd w:val="clear" w:color="auto" w:fill="FFFFFF"/>
                <w:lang w:eastAsia="it-IT"/>
              </w:rPr>
              <w:t xml:space="preserve">a delle opere di urbanizzazione </w:t>
            </w:r>
            <w:r w:rsidRPr="00D4757C">
              <w:rPr>
                <w:rFonts w:ascii="Bookman Old Style" w:eastAsia="Times New Roman" w:hAnsi="Bookman Old Style" w:cs="Arial"/>
                <w:b/>
                <w:shd w:val="clear" w:color="auto" w:fill="FFFFFF"/>
                <w:lang w:eastAsia="it-IT"/>
              </w:rPr>
              <w:t>primar</w:t>
            </w:r>
            <w:r>
              <w:rPr>
                <w:rFonts w:ascii="Bookman Old Style" w:eastAsia="Times New Roman" w:hAnsi="Bookman Old Style" w:cs="Arial"/>
                <w:b/>
                <w:shd w:val="clear" w:color="auto" w:fill="FFFFFF"/>
                <w:lang w:eastAsia="it-IT"/>
              </w:rPr>
              <w:t xml:space="preserve">ia e secondaria, al risanamento </w:t>
            </w:r>
            <w:r w:rsidRPr="00D4757C">
              <w:rPr>
                <w:rFonts w:ascii="Bookman Old Style" w:eastAsia="Times New Roman" w:hAnsi="Bookman Old Style" w:cs="Arial"/>
                <w:b/>
                <w:shd w:val="clear" w:color="auto" w:fill="FFFFFF"/>
                <w:lang w:eastAsia="it-IT"/>
              </w:rPr>
              <w:t>di complessi edilizi compresi nei</w:t>
            </w:r>
            <w:r w:rsidR="00E61052">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centri storici</w:t>
            </w:r>
            <w:r>
              <w:rPr>
                <w:rFonts w:ascii="Bookman Old Style" w:eastAsia="Times New Roman" w:hAnsi="Bookman Old Style" w:cs="Arial"/>
                <w:b/>
                <w:shd w:val="clear" w:color="auto" w:fill="FFFFFF"/>
                <w:lang w:eastAsia="it-IT"/>
              </w:rPr>
              <w:t xml:space="preserve"> e nelle periferie degradate, a </w:t>
            </w:r>
            <w:r w:rsidRPr="00D4757C">
              <w:rPr>
                <w:rFonts w:ascii="Bookman Old Style" w:eastAsia="Times New Roman" w:hAnsi="Bookman Old Style" w:cs="Arial"/>
                <w:b/>
                <w:shd w:val="clear" w:color="auto" w:fill="FFFFFF"/>
                <w:lang w:eastAsia="it-IT"/>
              </w:rPr>
              <w:t>interventi</w:t>
            </w:r>
            <w:r>
              <w:rPr>
                <w:rFonts w:ascii="Bookman Old Style" w:eastAsia="Times New Roman" w:hAnsi="Bookman Old Style" w:cs="Arial"/>
                <w:b/>
                <w:shd w:val="clear" w:color="auto" w:fill="FFFFFF"/>
                <w:lang w:eastAsia="it-IT"/>
              </w:rPr>
              <w:t xml:space="preserve"> di riuso e di rigenerazione, a </w:t>
            </w:r>
            <w:r w:rsidRPr="00D4757C">
              <w:rPr>
                <w:rFonts w:ascii="Bookman Old Style" w:eastAsia="Times New Roman" w:hAnsi="Bookman Old Style" w:cs="Arial"/>
                <w:b/>
                <w:shd w:val="clear" w:color="auto" w:fill="FFFFFF"/>
                <w:lang w:eastAsia="it-IT"/>
              </w:rPr>
              <w:t>intervent</w:t>
            </w:r>
            <w:r>
              <w:rPr>
                <w:rFonts w:ascii="Bookman Old Style" w:eastAsia="Times New Roman" w:hAnsi="Bookman Old Style" w:cs="Arial"/>
                <w:b/>
                <w:shd w:val="clear" w:color="auto" w:fill="FFFFFF"/>
                <w:lang w:eastAsia="it-IT"/>
              </w:rPr>
              <w:t xml:space="preserve">i di demolizione di costruzioni </w:t>
            </w:r>
            <w:r w:rsidRPr="00D4757C">
              <w:rPr>
                <w:rFonts w:ascii="Bookman Old Style" w:eastAsia="Times New Roman" w:hAnsi="Bookman Old Style" w:cs="Arial"/>
                <w:b/>
                <w:shd w:val="clear" w:color="auto" w:fill="FFFFFF"/>
                <w:lang w:eastAsia="it-IT"/>
              </w:rPr>
              <w:t>abusive, all’ac</w:t>
            </w:r>
            <w:r>
              <w:rPr>
                <w:rFonts w:ascii="Bookman Old Style" w:eastAsia="Times New Roman" w:hAnsi="Bookman Old Style" w:cs="Arial"/>
                <w:b/>
                <w:shd w:val="clear" w:color="auto" w:fill="FFFFFF"/>
                <w:lang w:eastAsia="it-IT"/>
              </w:rPr>
              <w:t xml:space="preserve">quisizione e alla realizzazione </w:t>
            </w:r>
            <w:r w:rsidRPr="00D4757C">
              <w:rPr>
                <w:rFonts w:ascii="Bookman Old Style" w:eastAsia="Times New Roman" w:hAnsi="Bookman Old Style" w:cs="Arial"/>
                <w:b/>
                <w:shd w:val="clear" w:color="auto" w:fill="FFFFFF"/>
                <w:lang w:eastAsia="it-IT"/>
              </w:rPr>
              <w:t xml:space="preserve">di aree </w:t>
            </w:r>
            <w:r>
              <w:rPr>
                <w:rFonts w:ascii="Bookman Old Style" w:eastAsia="Times New Roman" w:hAnsi="Bookman Old Style" w:cs="Arial"/>
                <w:b/>
                <w:shd w:val="clear" w:color="auto" w:fill="FFFFFF"/>
                <w:lang w:eastAsia="it-IT"/>
              </w:rPr>
              <w:t xml:space="preserve">verdi destinate a uso pubblico, </w:t>
            </w:r>
            <w:r w:rsidRPr="00D4757C">
              <w:rPr>
                <w:rFonts w:ascii="Bookman Old Style" w:eastAsia="Times New Roman" w:hAnsi="Bookman Old Style" w:cs="Arial"/>
                <w:b/>
                <w:shd w:val="clear" w:color="auto" w:fill="FFFFFF"/>
                <w:lang w:eastAsia="it-IT"/>
              </w:rPr>
              <w:t>a interventi di tutela e riqualifi</w:t>
            </w:r>
            <w:r>
              <w:rPr>
                <w:rFonts w:ascii="Bookman Old Style" w:eastAsia="Times New Roman" w:hAnsi="Bookman Old Style" w:cs="Arial"/>
                <w:b/>
                <w:shd w:val="clear" w:color="auto" w:fill="FFFFFF"/>
                <w:lang w:eastAsia="it-IT"/>
              </w:rPr>
              <w:t xml:space="preserve">cazione </w:t>
            </w:r>
            <w:r w:rsidRPr="00D4757C">
              <w:rPr>
                <w:rFonts w:ascii="Bookman Old Style" w:eastAsia="Times New Roman" w:hAnsi="Bookman Old Style" w:cs="Arial"/>
                <w:b/>
                <w:shd w:val="clear" w:color="auto" w:fill="FFFFFF"/>
                <w:lang w:eastAsia="it-IT"/>
              </w:rPr>
              <w:t>dell’</w:t>
            </w:r>
            <w:r>
              <w:rPr>
                <w:rFonts w:ascii="Bookman Old Style" w:eastAsia="Times New Roman" w:hAnsi="Bookman Old Style" w:cs="Arial"/>
                <w:b/>
                <w:shd w:val="clear" w:color="auto" w:fill="FFFFFF"/>
                <w:lang w:eastAsia="it-IT"/>
              </w:rPr>
              <w:t xml:space="preserve">ambiente e del paesaggio, anche </w:t>
            </w:r>
            <w:r w:rsidRPr="00D4757C">
              <w:rPr>
                <w:rFonts w:ascii="Bookman Old Style" w:eastAsia="Times New Roman" w:hAnsi="Bookman Old Style" w:cs="Arial"/>
                <w:b/>
                <w:shd w:val="clear" w:color="auto" w:fill="FFFFFF"/>
                <w:lang w:eastAsia="it-IT"/>
              </w:rPr>
              <w:t xml:space="preserve">ai fini della </w:t>
            </w:r>
            <w:r>
              <w:rPr>
                <w:rFonts w:ascii="Bookman Old Style" w:eastAsia="Times New Roman" w:hAnsi="Bookman Old Style" w:cs="Arial"/>
                <w:b/>
                <w:shd w:val="clear" w:color="auto" w:fill="FFFFFF"/>
                <w:lang w:eastAsia="it-IT"/>
              </w:rPr>
              <w:t xml:space="preserve">prevenzione e della mitigazione </w:t>
            </w:r>
            <w:r w:rsidRPr="00D4757C">
              <w:rPr>
                <w:rFonts w:ascii="Bookman Old Style" w:eastAsia="Times New Roman" w:hAnsi="Bookman Old Style" w:cs="Arial"/>
                <w:b/>
                <w:shd w:val="clear" w:color="auto" w:fill="FFFFFF"/>
                <w:lang w:eastAsia="it-IT"/>
              </w:rPr>
              <w:t>del ri</w:t>
            </w:r>
            <w:r>
              <w:rPr>
                <w:rFonts w:ascii="Bookman Old Style" w:eastAsia="Times New Roman" w:hAnsi="Bookman Old Style" w:cs="Arial"/>
                <w:b/>
                <w:shd w:val="clear" w:color="auto" w:fill="FFFFFF"/>
                <w:lang w:eastAsia="it-IT"/>
              </w:rPr>
              <w:t xml:space="preserve">schio idrogeologico e sismico e </w:t>
            </w:r>
            <w:r w:rsidRPr="00D4757C">
              <w:rPr>
                <w:rFonts w:ascii="Bookman Old Style" w:eastAsia="Times New Roman" w:hAnsi="Bookman Old Style" w:cs="Arial"/>
                <w:b/>
                <w:shd w:val="clear" w:color="auto" w:fill="FFFFFF"/>
                <w:lang w:eastAsia="it-IT"/>
              </w:rPr>
              <w:t xml:space="preserve">della tutela e </w:t>
            </w:r>
            <w:r>
              <w:rPr>
                <w:rFonts w:ascii="Bookman Old Style" w:eastAsia="Times New Roman" w:hAnsi="Bookman Old Style" w:cs="Arial"/>
                <w:b/>
                <w:shd w:val="clear" w:color="auto" w:fill="FFFFFF"/>
                <w:lang w:eastAsia="it-IT"/>
              </w:rPr>
              <w:t xml:space="preserve">riqualificazione del patrimonio </w:t>
            </w:r>
            <w:r w:rsidRPr="00D4757C">
              <w:rPr>
                <w:rFonts w:ascii="Bookman Old Style" w:eastAsia="Times New Roman" w:hAnsi="Bookman Old Style" w:cs="Arial"/>
                <w:b/>
                <w:shd w:val="clear" w:color="auto" w:fill="FFFFFF"/>
                <w:lang w:eastAsia="it-IT"/>
              </w:rPr>
              <w:t>rural</w:t>
            </w:r>
            <w:r>
              <w:rPr>
                <w:rFonts w:ascii="Bookman Old Style" w:eastAsia="Times New Roman" w:hAnsi="Bookman Old Style" w:cs="Arial"/>
                <w:b/>
                <w:shd w:val="clear" w:color="auto" w:fill="FFFFFF"/>
                <w:lang w:eastAsia="it-IT"/>
              </w:rPr>
              <w:t xml:space="preserve">e pubblico, nonché a interventi </w:t>
            </w:r>
            <w:r w:rsidRPr="00D4757C">
              <w:rPr>
                <w:rFonts w:ascii="Bookman Old Style" w:eastAsia="Times New Roman" w:hAnsi="Bookman Old Style" w:cs="Arial"/>
                <w:b/>
                <w:shd w:val="clear" w:color="auto" w:fill="FFFFFF"/>
                <w:lang w:eastAsia="it-IT"/>
              </w:rPr>
              <w:t>volti a favorire l’insediamento di attività</w:t>
            </w:r>
            <w:r>
              <w:rPr>
                <w:rFonts w:ascii="Bookman Old Style" w:eastAsia="Times New Roman" w:hAnsi="Bookman Old Style" w:cs="Arial"/>
                <w:b/>
                <w:shd w:val="clear" w:color="auto" w:fill="FFFFFF"/>
                <w:lang w:eastAsia="it-IT"/>
              </w:rPr>
              <w:t xml:space="preserve"> di </w:t>
            </w:r>
            <w:r w:rsidRPr="00D4757C">
              <w:rPr>
                <w:rFonts w:ascii="Bookman Old Style" w:eastAsia="Times New Roman" w:hAnsi="Bookman Old Style" w:cs="Arial"/>
                <w:b/>
                <w:shd w:val="clear" w:color="auto" w:fill="FFFFFF"/>
                <w:lang w:eastAsia="it-IT"/>
              </w:rPr>
              <w:t>agricoltura nell’ambito urbano.</w:t>
            </w:r>
          </w:p>
        </w:tc>
        <w:tc>
          <w:tcPr>
            <w:tcW w:w="7139" w:type="dxa"/>
            <w:gridSpan w:val="3"/>
            <w:shd w:val="clear" w:color="auto" w:fill="auto"/>
          </w:tcPr>
          <w:p w:rsidR="00F07B8A" w:rsidRPr="00A52622" w:rsidRDefault="00F07B8A" w:rsidP="00F07B8A">
            <w:pPr>
              <w:jc w:val="both"/>
              <w:rPr>
                <w:rFonts w:ascii="Bookman Old Style" w:hAnsi="Bookman Old Style"/>
                <w:i/>
              </w:rPr>
            </w:pPr>
            <w:r w:rsidRPr="00E64C89">
              <w:rPr>
                <w:rFonts w:ascii="Bookman Old Style" w:hAnsi="Bookman Old Style"/>
                <w:b/>
                <w:i/>
                <w:color w:val="000000"/>
              </w:rPr>
              <w:lastRenderedPageBreak/>
              <w:t>Il comma 460</w:t>
            </w:r>
            <w:r w:rsidRPr="00A52622">
              <w:rPr>
                <w:rFonts w:ascii="Bookman Old Style" w:hAnsi="Bookman Old Style"/>
                <w:i/>
                <w:color w:val="000000"/>
              </w:rPr>
              <w:t xml:space="preserve"> prevede, </w:t>
            </w:r>
            <w:r w:rsidRPr="00A52622">
              <w:rPr>
                <w:rFonts w:ascii="Bookman Old Style" w:hAnsi="Bookman Old Style"/>
                <w:i/>
              </w:rPr>
              <w:t xml:space="preserve">a partire </w:t>
            </w:r>
            <w:r w:rsidRPr="00A52622">
              <w:rPr>
                <w:rFonts w:ascii="Bookman Old Style" w:hAnsi="Bookman Old Style"/>
                <w:b/>
                <w:bCs/>
                <w:i/>
              </w:rPr>
              <w:t>dal 1° gennaio 2018</w:t>
            </w:r>
            <w:r w:rsidRPr="00A52622">
              <w:rPr>
                <w:rFonts w:ascii="Bookman Old Style" w:hAnsi="Bookman Old Style"/>
                <w:i/>
              </w:rPr>
              <w:t xml:space="preserve">, la destinazione esclusiva e senza vincoli temporali dei proventi dei titoli abilitativi edilizi e delle sanzioni in materia edilizia ai </w:t>
            </w:r>
            <w:r w:rsidRPr="00A52622">
              <w:rPr>
                <w:rFonts w:ascii="Bookman Old Style" w:hAnsi="Bookman Old Style"/>
                <w:i/>
              </w:rPr>
              <w:lastRenderedPageBreak/>
              <w:t xml:space="preserve">seguenti interventi: la realizzazione e la </w:t>
            </w:r>
            <w:r w:rsidRPr="00A52622">
              <w:rPr>
                <w:rFonts w:ascii="Bookman Old Style" w:hAnsi="Bookman Old Style"/>
                <w:b/>
                <w:bCs/>
                <w:i/>
              </w:rPr>
              <w:t xml:space="preserve">manutenzione </w:t>
            </w:r>
            <w:r w:rsidRPr="00A52622">
              <w:rPr>
                <w:rFonts w:ascii="Bookman Old Style" w:hAnsi="Bookman Old Style"/>
                <w:i/>
              </w:rPr>
              <w:t xml:space="preserve">ordinaria e straordinaria delle opere di urbanizzazione primaria e secondaria; il risanamento di complessi edilizi compresi nei centri storici e nelle periferie degradate; </w:t>
            </w:r>
            <w:r w:rsidRPr="00A52622">
              <w:rPr>
                <w:rFonts w:ascii="Bookman Old Style" w:hAnsi="Bookman Old Style"/>
                <w:b/>
                <w:bCs/>
                <w:i/>
              </w:rPr>
              <w:t>interventi di riuso e di rigenerazione</w:t>
            </w:r>
            <w:r w:rsidRPr="00A52622">
              <w:rPr>
                <w:rFonts w:ascii="Bookman Old Style" w:hAnsi="Bookman Old Style"/>
                <w:i/>
              </w:rPr>
              <w:t xml:space="preserve">; interventi di </w:t>
            </w:r>
            <w:r w:rsidRPr="00A52622">
              <w:rPr>
                <w:rFonts w:ascii="Bookman Old Style" w:hAnsi="Bookman Old Style"/>
                <w:b/>
                <w:bCs/>
                <w:i/>
              </w:rPr>
              <w:t>demolizione di costruzioni abusive</w:t>
            </w:r>
            <w:r w:rsidRPr="00A52622">
              <w:rPr>
                <w:rFonts w:ascii="Bookman Old Style" w:hAnsi="Bookman Old Style"/>
                <w:i/>
              </w:rPr>
              <w:t xml:space="preserve">; acquisizione e realizzazione di aree verdi destinate a uso pubblico; interventi di </w:t>
            </w:r>
            <w:r w:rsidRPr="00A52622">
              <w:rPr>
                <w:rFonts w:ascii="Bookman Old Style" w:hAnsi="Bookman Old Style"/>
                <w:b/>
                <w:bCs/>
                <w:i/>
              </w:rPr>
              <w:t xml:space="preserve">tutela e riqualificazione dell'ambiente </w:t>
            </w:r>
            <w:r w:rsidRPr="00A52622">
              <w:rPr>
                <w:rFonts w:ascii="Bookman Old Style" w:hAnsi="Bookman Old Style"/>
                <w:i/>
              </w:rPr>
              <w:t xml:space="preserve">e del paesaggio, anche ai fini della prevenzione e della mitigazione del rischio idrogeologico e sismico e della tutela e riqualificazione del patrimonio rurale pubblico; interventi volti a favorire l'insediamento di attività di agricoltura in ambito urbano. </w:t>
            </w:r>
          </w:p>
          <w:p w:rsidR="00F07B8A" w:rsidRPr="00A52622" w:rsidRDefault="00A52622" w:rsidP="00A52622">
            <w:pPr>
              <w:jc w:val="both"/>
              <w:rPr>
                <w:rFonts w:ascii="Bookman Old Style" w:hAnsi="Bookman Old Style"/>
                <w:i/>
                <w:color w:val="000000"/>
              </w:rPr>
            </w:pPr>
            <w:r w:rsidRPr="00A52622">
              <w:rPr>
                <w:rFonts w:ascii="Bookman Old Style" w:hAnsi="Bookman Old Style"/>
                <w:b/>
                <w:i/>
              </w:rPr>
              <w:t>Si ricorda che fino al 2017</w:t>
            </w:r>
            <w:r w:rsidRPr="00A52622">
              <w:rPr>
                <w:rFonts w:ascii="Bookman Old Style" w:hAnsi="Bookman Old Style"/>
                <w:i/>
              </w:rPr>
              <w:t xml:space="preserve"> opera la disposizione di cui al </w:t>
            </w:r>
            <w:r w:rsidRPr="00A52622">
              <w:rPr>
                <w:rFonts w:ascii="Bookman Old Style" w:hAnsi="Bookman Old Style"/>
                <w:b/>
                <w:i/>
              </w:rPr>
              <w:t>comma 737 della Legge di stabilità 2016</w:t>
            </w:r>
            <w:r w:rsidRPr="00A52622">
              <w:rPr>
                <w:rFonts w:ascii="Bookman Old Style" w:hAnsi="Bookman Old Style"/>
                <w:i/>
              </w:rPr>
              <w:t>, in base alla quale i proventi delle concessioni edilizie e delle relative sanzioni,</w:t>
            </w:r>
            <w:r w:rsidRPr="00A52622">
              <w:rPr>
                <w:rFonts w:ascii="Bookman Old Style" w:hAnsi="Bookman Old Style"/>
              </w:rPr>
              <w:t xml:space="preserve"> “possono essere utilizzati per una quota pari al 100 per cento per spese di manutenzione ordinaria del verde, delle strade e del patrimonio comunale, nonché per spese di progettazione delle opere pubbliche”. </w:t>
            </w:r>
            <w:r w:rsidRPr="00A52622">
              <w:rPr>
                <w:rFonts w:ascii="Bookman Old Style" w:hAnsi="Bookman Old Style"/>
                <w:i/>
              </w:rPr>
              <w:t xml:space="preserve"> </w:t>
            </w:r>
          </w:p>
        </w:tc>
      </w:tr>
      <w:tr w:rsidR="00F07B8A" w:rsidTr="00086B81">
        <w:trPr>
          <w:gridAfter w:val="1"/>
          <w:wAfter w:w="150" w:type="dxa"/>
        </w:trPr>
        <w:tc>
          <w:tcPr>
            <w:tcW w:w="7138" w:type="dxa"/>
          </w:tcPr>
          <w:p w:rsidR="00F07B8A" w:rsidRPr="00D4757C" w:rsidRDefault="00F07B8A" w:rsidP="00F07B8A">
            <w:pPr>
              <w:shd w:val="clear" w:color="auto" w:fill="FFFFFF"/>
              <w:jc w:val="both"/>
              <w:rPr>
                <w:rFonts w:ascii="Bookman Old Style" w:eastAsia="Times New Roman" w:hAnsi="Bookman Old Style" w:cs="Arial"/>
                <w:b/>
                <w:shd w:val="clear" w:color="auto" w:fill="FFFFFF"/>
                <w:lang w:eastAsia="it-IT"/>
              </w:rPr>
            </w:pPr>
            <w:r w:rsidRPr="00D4757C">
              <w:rPr>
                <w:rFonts w:ascii="Bookman Old Style" w:eastAsia="Times New Roman" w:hAnsi="Bookman Old Style" w:cs="Arial"/>
                <w:b/>
                <w:shd w:val="clear" w:color="auto" w:fill="FFFFFF"/>
                <w:lang w:eastAsia="it-IT"/>
              </w:rPr>
              <w:lastRenderedPageBreak/>
              <w:t>461. Il comma 8 dell’articolo 2 della</w:t>
            </w:r>
            <w:r>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 xml:space="preserve">legge 24 dicembre </w:t>
            </w:r>
            <w:r>
              <w:rPr>
                <w:rFonts w:ascii="Bookman Old Style" w:eastAsia="Times New Roman" w:hAnsi="Bookman Old Style" w:cs="Arial"/>
                <w:b/>
                <w:shd w:val="clear" w:color="auto" w:fill="FFFFFF"/>
                <w:lang w:eastAsia="it-IT"/>
              </w:rPr>
              <w:t xml:space="preserve">2007, n. 244, è abrogato </w:t>
            </w:r>
            <w:r w:rsidRPr="00D4757C">
              <w:rPr>
                <w:rFonts w:ascii="Bookman Old Style" w:eastAsia="Times New Roman" w:hAnsi="Bookman Old Style" w:cs="Arial"/>
                <w:b/>
                <w:shd w:val="clear" w:color="auto" w:fill="FFFFFF"/>
                <w:lang w:eastAsia="it-IT"/>
              </w:rPr>
              <w:t>alla data indicata al comma 1.</w:t>
            </w:r>
          </w:p>
        </w:tc>
        <w:tc>
          <w:tcPr>
            <w:tcW w:w="7139" w:type="dxa"/>
            <w:gridSpan w:val="3"/>
            <w:shd w:val="clear" w:color="auto" w:fill="auto"/>
          </w:tcPr>
          <w:p w:rsidR="00F07B8A" w:rsidRDefault="00F07B8A" w:rsidP="00A52622">
            <w:pPr>
              <w:pStyle w:val="Default"/>
              <w:jc w:val="both"/>
              <w:rPr>
                <w:rFonts w:ascii="Bookman Old Style" w:hAnsi="Bookman Old Style"/>
                <w:i/>
              </w:rPr>
            </w:pPr>
            <w:r w:rsidRPr="00C25018">
              <w:rPr>
                <w:rFonts w:ascii="Bookman Old Style" w:hAnsi="Bookman Old Style"/>
                <w:i/>
                <w:sz w:val="22"/>
                <w:szCs w:val="22"/>
              </w:rPr>
              <w:t xml:space="preserve">Al fine di coordinare la normativa vigente con le nuove disposizioni, il </w:t>
            </w:r>
            <w:r w:rsidRPr="00E64C89">
              <w:rPr>
                <w:rFonts w:ascii="Bookman Old Style" w:hAnsi="Bookman Old Style"/>
                <w:b/>
                <w:i/>
                <w:sz w:val="22"/>
                <w:szCs w:val="22"/>
              </w:rPr>
              <w:t>comma 461</w:t>
            </w:r>
            <w:r w:rsidRPr="00C25018">
              <w:rPr>
                <w:rFonts w:ascii="Bookman Old Style" w:hAnsi="Bookman Old Style"/>
                <w:i/>
                <w:sz w:val="22"/>
                <w:szCs w:val="22"/>
              </w:rPr>
              <w:t xml:space="preserve"> abroga</w:t>
            </w:r>
            <w:r w:rsidR="00A52622">
              <w:rPr>
                <w:rFonts w:ascii="Bookman Old Style" w:hAnsi="Bookman Old Style"/>
                <w:i/>
                <w:sz w:val="22"/>
                <w:szCs w:val="22"/>
              </w:rPr>
              <w:t xml:space="preserve"> dal 2018</w:t>
            </w:r>
            <w:r w:rsidRPr="00C25018">
              <w:rPr>
                <w:rFonts w:ascii="Bookman Old Style" w:hAnsi="Bookman Old Style"/>
                <w:i/>
                <w:sz w:val="22"/>
                <w:szCs w:val="22"/>
              </w:rPr>
              <w:t xml:space="preserve"> l’articolo 2, comma 8, della legge n. 244/2007, che ha disciplinato la destinazione dei proventi delle concessioni edilizie dal 2008 al 2015 consentendo l’utilizzo, per una quota non superiore al 50%, per il finanziamento di spese correnti e per una quota non superiore ad un ulteriore 25% esclusivamente per spese di manutenzione ordinaria del verde, delle strade e del patrimonio comunale.</w:t>
            </w:r>
          </w:p>
        </w:tc>
      </w:tr>
      <w:tr w:rsidR="00F07B8A" w:rsidTr="00086B81">
        <w:trPr>
          <w:gridAfter w:val="1"/>
          <w:wAfter w:w="150" w:type="dxa"/>
        </w:trPr>
        <w:tc>
          <w:tcPr>
            <w:tcW w:w="7138" w:type="dxa"/>
          </w:tcPr>
          <w:p w:rsidR="00F07B8A" w:rsidRPr="00D4757C" w:rsidRDefault="00F07B8A" w:rsidP="00F07B8A">
            <w:pPr>
              <w:shd w:val="clear" w:color="auto" w:fill="FFFFFF"/>
              <w:jc w:val="both"/>
              <w:rPr>
                <w:rFonts w:ascii="Bookman Old Style" w:eastAsia="Times New Roman" w:hAnsi="Bookman Old Style" w:cs="Arial"/>
                <w:b/>
                <w:shd w:val="clear" w:color="auto" w:fill="FFFFFF"/>
                <w:lang w:eastAsia="it-IT"/>
              </w:rPr>
            </w:pPr>
            <w:r w:rsidRPr="00D4757C">
              <w:rPr>
                <w:rFonts w:ascii="Bookman Old Style" w:eastAsia="Times New Roman" w:hAnsi="Bookman Old Style" w:cs="Arial"/>
                <w:b/>
                <w:shd w:val="clear" w:color="auto" w:fill="FFFFFF"/>
                <w:lang w:eastAsia="it-IT"/>
              </w:rPr>
              <w:t xml:space="preserve">462. In </w:t>
            </w:r>
            <w:r>
              <w:rPr>
                <w:rFonts w:ascii="Bookman Old Style" w:eastAsia="Times New Roman" w:hAnsi="Bookman Old Style" w:cs="Arial"/>
                <w:b/>
                <w:shd w:val="clear" w:color="auto" w:fill="FFFFFF"/>
                <w:lang w:eastAsia="it-IT"/>
              </w:rPr>
              <w:t xml:space="preserve">attuazione della sentenza della </w:t>
            </w:r>
            <w:r w:rsidRPr="00D4757C">
              <w:rPr>
                <w:rFonts w:ascii="Bookman Old Style" w:eastAsia="Times New Roman" w:hAnsi="Bookman Old Style" w:cs="Arial"/>
                <w:b/>
                <w:shd w:val="clear" w:color="auto" w:fill="FFFFFF"/>
                <w:lang w:eastAsia="it-IT"/>
              </w:rPr>
              <w:t>terza sezione</w:t>
            </w:r>
            <w:r>
              <w:rPr>
                <w:rFonts w:ascii="Bookman Old Style" w:eastAsia="Times New Roman" w:hAnsi="Bookman Old Style" w:cs="Arial"/>
                <w:b/>
                <w:shd w:val="clear" w:color="auto" w:fill="FFFFFF"/>
                <w:lang w:eastAsia="it-IT"/>
              </w:rPr>
              <w:t xml:space="preserve"> del Consiglio di Stato n. 1291 </w:t>
            </w:r>
            <w:r w:rsidRPr="00D4757C">
              <w:rPr>
                <w:rFonts w:ascii="Bookman Old Style" w:eastAsia="Times New Roman" w:hAnsi="Bookman Old Style" w:cs="Arial"/>
                <w:b/>
                <w:shd w:val="clear" w:color="auto" w:fill="FFFFFF"/>
                <w:lang w:eastAsia="it-IT"/>
              </w:rPr>
              <w:t>del 12 marzo 2015 e</w:t>
            </w:r>
            <w:r>
              <w:rPr>
                <w:rFonts w:ascii="Bookman Old Style" w:eastAsia="Times New Roman" w:hAnsi="Bookman Old Style" w:cs="Arial"/>
                <w:b/>
                <w:shd w:val="clear" w:color="auto" w:fill="FFFFFF"/>
                <w:lang w:eastAsia="it-IT"/>
              </w:rPr>
              <w:t xml:space="preserve"> in riferimento al </w:t>
            </w:r>
            <w:r w:rsidRPr="00D4757C">
              <w:rPr>
                <w:rFonts w:ascii="Bookman Old Style" w:eastAsia="Times New Roman" w:hAnsi="Bookman Old Style" w:cs="Arial"/>
                <w:b/>
                <w:shd w:val="clear" w:color="auto" w:fill="FFFFFF"/>
                <w:lang w:eastAsia="it-IT"/>
              </w:rPr>
              <w:t>ricorso n. 7234 del 2014 pendente innanzi</w:t>
            </w:r>
            <w:r>
              <w:rPr>
                <w:rFonts w:ascii="Bookman Old Style" w:eastAsia="Times New Roman" w:hAnsi="Bookman Old Style" w:cs="Arial"/>
                <w:b/>
                <w:shd w:val="clear" w:color="auto" w:fill="FFFFFF"/>
                <w:lang w:eastAsia="it-IT"/>
              </w:rPr>
              <w:t xml:space="preserve"> </w:t>
            </w:r>
            <w:r w:rsidRPr="00D4757C">
              <w:rPr>
                <w:rFonts w:ascii="Bookman Old Style" w:eastAsia="Times New Roman" w:hAnsi="Bookman Old Style" w:cs="Arial"/>
                <w:b/>
                <w:shd w:val="clear" w:color="auto" w:fill="FFFFFF"/>
                <w:lang w:eastAsia="it-IT"/>
              </w:rPr>
              <w:t>al tribuna</w:t>
            </w:r>
            <w:r>
              <w:rPr>
                <w:rFonts w:ascii="Bookman Old Style" w:eastAsia="Times New Roman" w:hAnsi="Bookman Old Style" w:cs="Arial"/>
                <w:b/>
                <w:shd w:val="clear" w:color="auto" w:fill="FFFFFF"/>
                <w:lang w:eastAsia="it-IT"/>
              </w:rPr>
              <w:t xml:space="preserve">le amministrativo regionale del </w:t>
            </w:r>
            <w:r w:rsidRPr="00D4757C">
              <w:rPr>
                <w:rFonts w:ascii="Bookman Old Style" w:eastAsia="Times New Roman" w:hAnsi="Bookman Old Style" w:cs="Arial"/>
                <w:b/>
                <w:shd w:val="clear" w:color="auto" w:fill="FFFFFF"/>
                <w:lang w:eastAsia="it-IT"/>
              </w:rPr>
              <w:t>Lazio, è isti</w:t>
            </w:r>
            <w:r>
              <w:rPr>
                <w:rFonts w:ascii="Bookman Old Style" w:eastAsia="Times New Roman" w:hAnsi="Bookman Old Style" w:cs="Arial"/>
                <w:b/>
                <w:shd w:val="clear" w:color="auto" w:fill="FFFFFF"/>
                <w:lang w:eastAsia="it-IT"/>
              </w:rPr>
              <w:t xml:space="preserve">tuito nello stato di previsione </w:t>
            </w:r>
            <w:r w:rsidRPr="00D4757C">
              <w:rPr>
                <w:rFonts w:ascii="Bookman Old Style" w:eastAsia="Times New Roman" w:hAnsi="Bookman Old Style" w:cs="Arial"/>
                <w:b/>
                <w:shd w:val="clear" w:color="auto" w:fill="FFFFFF"/>
                <w:lang w:eastAsia="it-IT"/>
              </w:rPr>
              <w:t>del Ministero dell’interno un fondo co</w:t>
            </w:r>
            <w:r>
              <w:rPr>
                <w:rFonts w:ascii="Bookman Old Style" w:eastAsia="Times New Roman" w:hAnsi="Bookman Old Style" w:cs="Arial"/>
                <w:b/>
                <w:shd w:val="clear" w:color="auto" w:fill="FFFFFF"/>
                <w:lang w:eastAsia="it-IT"/>
              </w:rPr>
              <w:t xml:space="preserve">n </w:t>
            </w:r>
            <w:r w:rsidRPr="00D4757C">
              <w:rPr>
                <w:rFonts w:ascii="Bookman Old Style" w:eastAsia="Times New Roman" w:hAnsi="Bookman Old Style" w:cs="Arial"/>
                <w:b/>
                <w:shd w:val="clear" w:color="auto" w:fill="FFFFFF"/>
                <w:lang w:eastAsia="it-IT"/>
              </w:rPr>
              <w:t>una dotazi</w:t>
            </w:r>
            <w:r>
              <w:rPr>
                <w:rFonts w:ascii="Bookman Old Style" w:eastAsia="Times New Roman" w:hAnsi="Bookman Old Style" w:cs="Arial"/>
                <w:b/>
                <w:shd w:val="clear" w:color="auto" w:fill="FFFFFF"/>
                <w:lang w:eastAsia="it-IT"/>
              </w:rPr>
              <w:t xml:space="preserve">one di 8,52 milioni di euro per </w:t>
            </w:r>
            <w:r w:rsidRPr="00D4757C">
              <w:rPr>
                <w:rFonts w:ascii="Bookman Old Style" w:eastAsia="Times New Roman" w:hAnsi="Bookman Old Style" w:cs="Arial"/>
                <w:b/>
                <w:shd w:val="clear" w:color="auto" w:fill="FFFFFF"/>
                <w:lang w:eastAsia="it-IT"/>
              </w:rPr>
              <w:t>l’anno 20</w:t>
            </w:r>
            <w:r>
              <w:rPr>
                <w:rFonts w:ascii="Bookman Old Style" w:eastAsia="Times New Roman" w:hAnsi="Bookman Old Style" w:cs="Arial"/>
                <w:b/>
                <w:shd w:val="clear" w:color="auto" w:fill="FFFFFF"/>
                <w:lang w:eastAsia="it-IT"/>
              </w:rPr>
              <w:t xml:space="preserve">17 e di 2,8 milioni di euro per </w:t>
            </w:r>
            <w:r w:rsidRPr="00D4757C">
              <w:rPr>
                <w:rFonts w:ascii="Bookman Old Style" w:eastAsia="Times New Roman" w:hAnsi="Bookman Old Style" w:cs="Arial"/>
                <w:b/>
                <w:shd w:val="clear" w:color="auto" w:fill="FFFFFF"/>
                <w:lang w:eastAsia="it-IT"/>
              </w:rPr>
              <w:t>l’anno 2018</w:t>
            </w:r>
            <w:r>
              <w:rPr>
                <w:rFonts w:ascii="Bookman Old Style" w:eastAsia="Times New Roman" w:hAnsi="Bookman Old Style" w:cs="Arial"/>
                <w:b/>
                <w:shd w:val="clear" w:color="auto" w:fill="FFFFFF"/>
                <w:lang w:eastAsia="it-IT"/>
              </w:rPr>
              <w:t xml:space="preserve">. Le risorse del predetto fondo </w:t>
            </w:r>
            <w:r w:rsidRPr="00D4757C">
              <w:rPr>
                <w:rFonts w:ascii="Bookman Old Style" w:eastAsia="Times New Roman" w:hAnsi="Bookman Old Style" w:cs="Arial"/>
                <w:b/>
                <w:shd w:val="clear" w:color="auto" w:fill="FFFFFF"/>
                <w:lang w:eastAsia="it-IT"/>
              </w:rPr>
              <w:t>sono erogate dal Minister</w:t>
            </w:r>
            <w:r>
              <w:rPr>
                <w:rFonts w:ascii="Bookman Old Style" w:eastAsia="Times New Roman" w:hAnsi="Bookman Old Style" w:cs="Arial"/>
                <w:b/>
                <w:shd w:val="clear" w:color="auto" w:fill="FFFFFF"/>
                <w:lang w:eastAsia="it-IT"/>
              </w:rPr>
              <w:t xml:space="preserve">o dell’interno subordinatamente alla rinuncia al contenzioso </w:t>
            </w:r>
            <w:r w:rsidRPr="00D4757C">
              <w:rPr>
                <w:rFonts w:ascii="Bookman Old Style" w:eastAsia="Times New Roman" w:hAnsi="Bookman Old Style" w:cs="Arial"/>
                <w:b/>
                <w:shd w:val="clear" w:color="auto" w:fill="FFFFFF"/>
                <w:lang w:eastAsia="it-IT"/>
              </w:rPr>
              <w:t>amministrativo pendente.</w:t>
            </w:r>
          </w:p>
        </w:tc>
        <w:tc>
          <w:tcPr>
            <w:tcW w:w="7139" w:type="dxa"/>
            <w:gridSpan w:val="3"/>
          </w:tcPr>
          <w:p w:rsidR="00F07B8A" w:rsidRPr="009650B5" w:rsidRDefault="00F07B8A" w:rsidP="00F07B8A">
            <w:pPr>
              <w:pStyle w:val="Default"/>
              <w:jc w:val="both"/>
              <w:rPr>
                <w:rFonts w:ascii="Bookman Old Style" w:hAnsi="Bookman Old Style"/>
                <w:i/>
                <w:sz w:val="22"/>
                <w:szCs w:val="22"/>
              </w:rPr>
            </w:pPr>
            <w:r w:rsidRPr="00C25018">
              <w:rPr>
                <w:rFonts w:ascii="Bookman Old Style" w:hAnsi="Bookman Old Style"/>
                <w:b/>
                <w:bCs/>
                <w:i/>
                <w:iCs/>
                <w:sz w:val="22"/>
                <w:szCs w:val="22"/>
              </w:rPr>
              <w:t>Il comma 462</w:t>
            </w:r>
            <w:r w:rsidRPr="00C25018">
              <w:rPr>
                <w:rFonts w:ascii="Bookman Old Style" w:hAnsi="Bookman Old Style"/>
                <w:i/>
                <w:sz w:val="22"/>
                <w:szCs w:val="22"/>
              </w:rPr>
              <w:t xml:space="preserve"> prevede l’istituzione di un Fondo nello stato di previsione del Ministero dell’interno, con una dotazione di 8,52 milioni di euro per il 2017 e di 2,8 milioni per il 2018, in attuazione della sentenza del Consiglio di Stato n. 1291 del 12 marzo 2015. Tali somme sono riconosciute al comune di Lecce a fronte della rinuncia da parte dello stesso Comune al ricorso 7234 del 2014 pendente innanzi al Tribunale </w:t>
            </w:r>
            <w:r w:rsidRPr="00A52622">
              <w:rPr>
                <w:rFonts w:ascii="Bookman Old Style" w:hAnsi="Bookman Old Style"/>
                <w:i/>
                <w:sz w:val="22"/>
                <w:szCs w:val="22"/>
              </w:rPr>
              <w:t>amministrativo regionale del Lazio.</w:t>
            </w:r>
            <w:r w:rsidRPr="009650B5">
              <w:rPr>
                <w:rFonts w:ascii="Bookman Old Style" w:hAnsi="Bookman Old Style"/>
                <w:i/>
                <w:sz w:val="22"/>
                <w:szCs w:val="22"/>
              </w:rPr>
              <w:t xml:space="preserve"> </w:t>
            </w:r>
          </w:p>
        </w:tc>
      </w:tr>
      <w:tr w:rsidR="000A3A67" w:rsidTr="0000157F">
        <w:tc>
          <w:tcPr>
            <w:tcW w:w="14427" w:type="dxa"/>
            <w:gridSpan w:val="5"/>
          </w:tcPr>
          <w:p w:rsidR="000A3A67" w:rsidRPr="008B3D73" w:rsidRDefault="000A3A67" w:rsidP="006E24E5">
            <w:pPr>
              <w:shd w:val="clear" w:color="auto" w:fill="FFFFFF"/>
              <w:jc w:val="center"/>
              <w:rPr>
                <w:rFonts w:ascii="Bookman Old Style" w:eastAsia="Times New Roman" w:hAnsi="Bookman Old Style" w:cs="Arial"/>
                <w:b/>
                <w:lang w:eastAsia="it-IT"/>
              </w:rPr>
            </w:pPr>
            <w:r>
              <w:lastRenderedPageBreak/>
              <w:br w:type="page"/>
            </w:r>
          </w:p>
          <w:p w:rsidR="000A3A67" w:rsidRPr="008B3D73" w:rsidRDefault="000A3A67" w:rsidP="006E24E5">
            <w:pPr>
              <w:shd w:val="clear" w:color="auto" w:fill="FFFFFF"/>
              <w:jc w:val="center"/>
              <w:rPr>
                <w:rFonts w:ascii="Bookman Old Style" w:eastAsia="Times New Roman" w:hAnsi="Bookman Old Style" w:cs="Arial"/>
                <w:b/>
                <w:i/>
                <w:iCs/>
                <w:lang w:eastAsia="it-IT"/>
              </w:rPr>
            </w:pPr>
            <w:r w:rsidRPr="008B3D73">
              <w:rPr>
                <w:rFonts w:ascii="Bookman Old Style" w:eastAsia="Times New Roman" w:hAnsi="Bookman Old Style" w:cs="Arial"/>
                <w:b/>
                <w:i/>
                <w:iCs/>
                <w:lang w:eastAsia="it-IT"/>
              </w:rPr>
              <w:t xml:space="preserve">Regole di finanza pubblica per </w:t>
            </w:r>
            <w:r w:rsidR="00A14E29">
              <w:rPr>
                <w:rFonts w:ascii="Bookman Old Style" w:eastAsia="Times New Roman" w:hAnsi="Bookman Old Style" w:cs="Arial"/>
                <w:b/>
                <w:i/>
                <w:iCs/>
                <w:lang w:eastAsia="it-IT"/>
              </w:rPr>
              <w:t>il rilancio degli investimenti</w:t>
            </w:r>
          </w:p>
          <w:p w:rsidR="000A3A67" w:rsidRPr="00FA3F09" w:rsidRDefault="000A3A67" w:rsidP="006E24E5">
            <w:pPr>
              <w:jc w:val="both"/>
              <w:rPr>
                <w:rFonts w:ascii="Bookman Old Style" w:hAnsi="Bookman Old Style"/>
                <w:color w:val="000000"/>
              </w:rPr>
            </w:pPr>
          </w:p>
        </w:tc>
      </w:tr>
      <w:tr w:rsidR="00D53E9C" w:rsidTr="006E24E5">
        <w:tc>
          <w:tcPr>
            <w:tcW w:w="7213" w:type="dxa"/>
            <w:gridSpan w:val="3"/>
          </w:tcPr>
          <w:p w:rsidR="00D53E9C" w:rsidRDefault="00B0126D"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463</w:t>
            </w:r>
            <w:r w:rsidR="00D53E9C" w:rsidRPr="00E847D3">
              <w:rPr>
                <w:rFonts w:ascii="Bookman Old Style" w:eastAsia="Times New Roman" w:hAnsi="Bookman Old Style" w:cs="Arial"/>
                <w:lang w:eastAsia="it-IT"/>
              </w:rPr>
              <w:t>. A decorrere dall'anno 2017 cessano di avere applicazione i commi da 709 a 712 e da 719 a 734, dell'</w:t>
            </w:r>
            <w:hyperlink r:id="rId58" w:anchor="art1" w:tgtFrame="rifNormativi" w:history="1">
              <w:r w:rsidR="00D53E9C" w:rsidRPr="00CF63B8">
                <w:rPr>
                  <w:rFonts w:ascii="Bookman Old Style" w:eastAsia="Times New Roman" w:hAnsi="Bookman Old Style" w:cs="Arial"/>
                  <w:lang w:eastAsia="it-IT"/>
                </w:rPr>
                <w:t>articolo 1 della legge 28 dicembre 2015, n. 208</w:t>
              </w:r>
            </w:hyperlink>
            <w:r w:rsidR="00D53E9C" w:rsidRPr="00E847D3">
              <w:rPr>
                <w:rFonts w:ascii="Bookman Old Style" w:eastAsia="Times New Roman" w:hAnsi="Bookman Old Style" w:cs="Arial"/>
                <w:lang w:eastAsia="it-IT"/>
              </w:rPr>
              <w:t>. Restano fermi gli adempimenti degli enti territoriali relativi al monitoraggio e alla certificazione del saldo di cui all'</w:t>
            </w:r>
            <w:hyperlink r:id="rId59" w:anchor="art1-com710" w:tgtFrame="rifNormativi" w:history="1">
              <w:r w:rsidR="00D53E9C" w:rsidRPr="00CF63B8">
                <w:rPr>
                  <w:rFonts w:ascii="Bookman Old Style" w:eastAsia="Times New Roman" w:hAnsi="Bookman Old Style" w:cs="Arial"/>
                  <w:lang w:eastAsia="it-IT"/>
                </w:rPr>
                <w:t>articolo 1, comma 710, della legge 28 dicembre 2015, n. 208</w:t>
              </w:r>
            </w:hyperlink>
            <w:r w:rsidR="00D53E9C" w:rsidRPr="00E847D3">
              <w:rPr>
                <w:rFonts w:ascii="Bookman Old Style" w:eastAsia="Times New Roman" w:hAnsi="Bookman Old Style" w:cs="Arial"/>
                <w:lang w:eastAsia="it-IT"/>
              </w:rPr>
              <w:t>, nonché l'applicazione delle sanzioni in caso di mancato conseguimento del saldo 2016, di cui al medesimo comma 710, accertato ai sensi dei commi da 720 a 727 dell'</w:t>
            </w:r>
            <w:hyperlink r:id="rId60" w:anchor="art1" w:tgtFrame="rifNormativi" w:history="1">
              <w:r w:rsidR="00D53E9C" w:rsidRPr="00CF63B8">
                <w:rPr>
                  <w:rFonts w:ascii="Bookman Old Style" w:eastAsia="Times New Roman" w:hAnsi="Bookman Old Style" w:cs="Arial"/>
                  <w:lang w:eastAsia="it-IT"/>
                </w:rPr>
                <w:t>articolo 1 della legge 28 dicembre 2015, n. 208</w:t>
              </w:r>
            </w:hyperlink>
            <w:r w:rsidR="00D53E9C" w:rsidRPr="00E847D3">
              <w:rPr>
                <w:rFonts w:ascii="Bookman Old Style" w:eastAsia="Times New Roman" w:hAnsi="Bookman Old Style" w:cs="Arial"/>
                <w:lang w:eastAsia="it-IT"/>
              </w:rPr>
              <w:t>. Sono fatti salvi gli effetti connessi all'applicazione nell'anno 2016 dei patti di solidarietà di cui ai commi da 728 a 732 dell'</w:t>
            </w:r>
            <w:hyperlink r:id="rId61" w:anchor="art1" w:tgtFrame="rifNormativi" w:history="1">
              <w:r w:rsidR="00D53E9C" w:rsidRPr="00CF63B8">
                <w:rPr>
                  <w:rFonts w:ascii="Bookman Old Style" w:eastAsia="Times New Roman" w:hAnsi="Bookman Old Style" w:cs="Arial"/>
                  <w:lang w:eastAsia="it-IT"/>
                </w:rPr>
                <w:t>articolo 1 della legge 28 dicembre 2015, n. 208</w:t>
              </w:r>
            </w:hyperlink>
            <w:r w:rsidR="00D53E9C" w:rsidRPr="00E847D3">
              <w:rPr>
                <w:rFonts w:ascii="Bookman Old Style" w:eastAsia="Times New Roman" w:hAnsi="Bookman Old Style" w:cs="Arial"/>
                <w:lang w:eastAsia="it-IT"/>
              </w:rPr>
              <w:t>.</w:t>
            </w:r>
          </w:p>
          <w:p w:rsidR="00F1739E" w:rsidRDefault="00F1739E" w:rsidP="00D53E9C">
            <w:pPr>
              <w:shd w:val="clear" w:color="auto" w:fill="FFFFFF"/>
              <w:jc w:val="both"/>
              <w:rPr>
                <w:rFonts w:ascii="Bookman Old Style" w:eastAsia="Times New Roman" w:hAnsi="Bookman Old Style" w:cs="Arial"/>
                <w:lang w:eastAsia="it-IT"/>
              </w:rPr>
            </w:pPr>
          </w:p>
          <w:p w:rsidR="00F1739E" w:rsidRPr="005358D3" w:rsidRDefault="00F1739E" w:rsidP="00D53E9C">
            <w:pPr>
              <w:shd w:val="clear" w:color="auto" w:fill="FFFFFF"/>
              <w:jc w:val="both"/>
              <w:rPr>
                <w:rFonts w:ascii="Bookman Old Style" w:eastAsia="Times New Roman" w:hAnsi="Bookman Old Style" w:cs="Arial"/>
                <w:lang w:eastAsia="it-IT"/>
              </w:rPr>
            </w:pPr>
          </w:p>
        </w:tc>
        <w:tc>
          <w:tcPr>
            <w:tcW w:w="7214" w:type="dxa"/>
            <w:gridSpan w:val="2"/>
          </w:tcPr>
          <w:p w:rsidR="00D53E9C" w:rsidRPr="00B0126D" w:rsidRDefault="00B0126D" w:rsidP="00D53E9C">
            <w:pPr>
              <w:jc w:val="both"/>
              <w:rPr>
                <w:rFonts w:ascii="Bookman Old Style" w:hAnsi="Bookman Old Style"/>
                <w:i/>
                <w:color w:val="000000"/>
              </w:rPr>
            </w:pPr>
            <w:r>
              <w:rPr>
                <w:rFonts w:ascii="Bookman Old Style" w:hAnsi="Bookman Old Style"/>
                <w:i/>
                <w:color w:val="000000"/>
              </w:rPr>
              <w:t xml:space="preserve">Il </w:t>
            </w:r>
            <w:r w:rsidRPr="00B0126D">
              <w:rPr>
                <w:rFonts w:ascii="Bookman Old Style" w:hAnsi="Bookman Old Style"/>
                <w:b/>
                <w:i/>
                <w:color w:val="000000"/>
              </w:rPr>
              <w:t>comma 463</w:t>
            </w:r>
            <w:r w:rsidR="00712400">
              <w:rPr>
                <w:rFonts w:ascii="Bookman Old Style" w:hAnsi="Bookman Old Style"/>
                <w:b/>
                <w:i/>
                <w:color w:val="000000"/>
              </w:rPr>
              <w:t xml:space="preserve"> </w:t>
            </w:r>
            <w:r w:rsidR="0014299D" w:rsidRPr="00B0126D">
              <w:rPr>
                <w:rFonts w:ascii="Bookman Old Style" w:hAnsi="Bookman Old Style"/>
                <w:i/>
                <w:color w:val="000000"/>
              </w:rPr>
              <w:t xml:space="preserve">abroga formalmente </w:t>
            </w:r>
            <w:r w:rsidR="00D53E9C" w:rsidRPr="00B0126D">
              <w:rPr>
                <w:rFonts w:ascii="Bookman Old Style" w:hAnsi="Bookman Old Style"/>
                <w:i/>
                <w:color w:val="000000"/>
              </w:rPr>
              <w:t>la normativa concernente il pareggio di bilancio</w:t>
            </w:r>
            <w:r w:rsidR="0014299D" w:rsidRPr="00B0126D">
              <w:rPr>
                <w:rFonts w:ascii="Bookman Old Style" w:hAnsi="Bookman Old Style"/>
                <w:i/>
                <w:color w:val="000000"/>
              </w:rPr>
              <w:t xml:space="preserve"> come disciplinato </w:t>
            </w:r>
            <w:r w:rsidR="00D53E9C" w:rsidRPr="00B0126D">
              <w:rPr>
                <w:rFonts w:ascii="Bookman Old Style" w:hAnsi="Bookman Old Style"/>
                <w:i/>
                <w:color w:val="000000"/>
              </w:rPr>
              <w:t>dalla legge di stabilità 2016 (commi 709-712 e 719-734)</w:t>
            </w:r>
            <w:r w:rsidR="0014299D" w:rsidRPr="00B0126D">
              <w:rPr>
                <w:rFonts w:ascii="Bookman Old Style" w:hAnsi="Bookman Old Style"/>
                <w:i/>
                <w:color w:val="000000"/>
              </w:rPr>
              <w:t>, sostituito con l’analoga disciplina dei commi successivi</w:t>
            </w:r>
            <w:r w:rsidR="00D53E9C" w:rsidRPr="00B0126D">
              <w:rPr>
                <w:rFonts w:ascii="Bookman Old Style" w:hAnsi="Bookman Old Style"/>
                <w:i/>
                <w:color w:val="000000"/>
              </w:rPr>
              <w:t xml:space="preserve">. Sono confermati, invece, gli adempimenti previsti per il monitoraggio e la certificazione del saldo finale di competenza 2016, nonché le disposizioni relative alle sanzioni in caso di mancato conseguimento del saldo 2016 e gli effetti connessi all’applicazione dei patti di solidarietà, nazionale e regionali, </w:t>
            </w:r>
            <w:r w:rsidR="00BF45A0" w:rsidRPr="00B0126D">
              <w:rPr>
                <w:rFonts w:ascii="Bookman Old Style" w:hAnsi="Bookman Old Style"/>
                <w:i/>
                <w:color w:val="000000"/>
              </w:rPr>
              <w:t xml:space="preserve">nel corso del </w:t>
            </w:r>
            <w:r w:rsidR="00D53E9C" w:rsidRPr="00B0126D">
              <w:rPr>
                <w:rFonts w:ascii="Bookman Old Style" w:hAnsi="Bookman Old Style"/>
                <w:i/>
                <w:color w:val="000000"/>
              </w:rPr>
              <w:t>2016.</w:t>
            </w:r>
          </w:p>
          <w:p w:rsidR="00D53E9C" w:rsidRPr="00B0126D" w:rsidRDefault="00D53E9C" w:rsidP="00A52622">
            <w:pPr>
              <w:jc w:val="both"/>
              <w:rPr>
                <w:rFonts w:ascii="Bookman Old Style" w:eastAsia="Calibri" w:hAnsi="Bookman Old Style" w:cs="Times New Roman"/>
                <w:i/>
              </w:rPr>
            </w:pPr>
            <w:r w:rsidRPr="00B0126D">
              <w:rPr>
                <w:rFonts w:ascii="Bookman Old Style" w:eastAsiaTheme="majorEastAsia" w:hAnsi="Bookman Old Style" w:cstheme="majorBidi"/>
                <w:bCs/>
                <w:i/>
              </w:rPr>
              <w:t>La revisione delle sanzioni in caso di mancato rispetto del saldo 2017 rappresenterebbe quindi la prima applicazione dei criteri di proporzionalità</w:t>
            </w:r>
            <w:r w:rsidR="00AA6F77">
              <w:rPr>
                <w:rFonts w:ascii="Bookman Old Style" w:eastAsiaTheme="majorEastAsia" w:hAnsi="Bookman Old Style" w:cstheme="majorBidi"/>
                <w:bCs/>
                <w:i/>
              </w:rPr>
              <w:t xml:space="preserve"> </w:t>
            </w:r>
            <w:r w:rsidRPr="00B0126D">
              <w:rPr>
                <w:rFonts w:ascii="Bookman Old Style" w:eastAsiaTheme="majorEastAsia" w:hAnsi="Bookman Old Style" w:cstheme="majorBidi"/>
                <w:bCs/>
                <w:i/>
              </w:rPr>
              <w:t xml:space="preserve">espressamente richiamati dalla revisionata legge 243/2012. </w:t>
            </w:r>
            <w:r w:rsidRPr="00A52622">
              <w:rPr>
                <w:rFonts w:ascii="Bookman Old Style" w:eastAsiaTheme="majorEastAsia" w:hAnsi="Bookman Old Style" w:cstheme="majorBidi"/>
                <w:b/>
                <w:bCs/>
                <w:i/>
              </w:rPr>
              <w:t>L’</w:t>
            </w:r>
            <w:r w:rsidRPr="00A52622">
              <w:rPr>
                <w:rFonts w:ascii="Bookman Old Style" w:hAnsi="Bookman Old Style"/>
                <w:b/>
                <w:i/>
                <w:color w:val="000000"/>
              </w:rPr>
              <w:t>ANCI ha invece più volte segnalato, anche attraverso la presentazione di un emendamento, l’opportunità</w:t>
            </w:r>
            <w:r w:rsidRPr="00A52622">
              <w:rPr>
                <w:rFonts w:ascii="Bookman Old Style" w:eastAsia="Calibri" w:hAnsi="Bookman Old Style" w:cs="Times New Roman"/>
                <w:b/>
                <w:i/>
              </w:rPr>
              <w:t xml:space="preserve"> di applicare il nuovo impianto sanzionatorio/</w:t>
            </w:r>
            <w:r w:rsidR="00A52622">
              <w:rPr>
                <w:rFonts w:ascii="Bookman Old Style" w:eastAsia="Calibri" w:hAnsi="Bookman Old Style" w:cs="Times New Roman"/>
                <w:b/>
                <w:i/>
              </w:rPr>
              <w:t xml:space="preserve"> </w:t>
            </w:r>
            <w:r w:rsidRPr="00A52622">
              <w:rPr>
                <w:rFonts w:ascii="Bookman Old Style" w:eastAsia="Calibri" w:hAnsi="Bookman Old Style" w:cs="Times New Roman"/>
                <w:b/>
                <w:i/>
              </w:rPr>
              <w:t xml:space="preserve">premiale sin dai casi di mancato rispetto del saldo </w:t>
            </w:r>
            <w:r w:rsidR="00A52622">
              <w:rPr>
                <w:rFonts w:ascii="Bookman Old Style" w:eastAsia="Calibri" w:hAnsi="Bookman Old Style" w:cs="Times New Roman"/>
                <w:b/>
                <w:i/>
              </w:rPr>
              <w:t>di competenza</w:t>
            </w:r>
            <w:r w:rsidRPr="00A52622">
              <w:rPr>
                <w:rFonts w:ascii="Bookman Old Style" w:eastAsia="Calibri" w:hAnsi="Bookman Old Style" w:cs="Times New Roman"/>
                <w:b/>
                <w:i/>
              </w:rPr>
              <w:t xml:space="preserve"> 2016</w:t>
            </w:r>
            <w:r w:rsidRPr="00B0126D">
              <w:rPr>
                <w:rFonts w:ascii="Bookman Old Style" w:eastAsia="Calibri" w:hAnsi="Bookman Old Style" w:cs="Times New Roman"/>
                <w:i/>
              </w:rPr>
              <w:t>. L’accoglimento di tale proposta confermerebbe anche sotto questo aspetto l’esercizio finanziario 2016 come elemento di rottura rispetto al previgente regime del Patto di stabilità interno</w:t>
            </w:r>
            <w:r w:rsidR="00BF45A0" w:rsidRPr="00B0126D">
              <w:rPr>
                <w:rFonts w:ascii="Bookman Old Style" w:eastAsia="Calibri" w:hAnsi="Bookman Old Style" w:cs="Times New Roman"/>
                <w:i/>
              </w:rPr>
              <w:t xml:space="preserve"> e assicurerebbe la coerenza del sistema ai criteri direttivi introdotti dalla revisione della legge 243</w:t>
            </w:r>
            <w:r w:rsidRPr="00B0126D">
              <w:rPr>
                <w:rFonts w:ascii="Bookman Old Style" w:eastAsia="Calibri" w:hAnsi="Bookman Old Style" w:cs="Times New Roman"/>
                <w:i/>
              </w:rPr>
              <w:t>.</w:t>
            </w:r>
          </w:p>
        </w:tc>
      </w:tr>
      <w:tr w:rsidR="00D53E9C" w:rsidTr="006E24E5">
        <w:tc>
          <w:tcPr>
            <w:tcW w:w="7213" w:type="dxa"/>
            <w:gridSpan w:val="3"/>
          </w:tcPr>
          <w:p w:rsidR="00D53E9C" w:rsidRPr="00E847D3" w:rsidRDefault="00B0126D"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t>464</w:t>
            </w:r>
            <w:r w:rsidR="00D53E9C" w:rsidRPr="00E847D3">
              <w:rPr>
                <w:rFonts w:ascii="Bookman Old Style" w:eastAsia="Times New Roman" w:hAnsi="Bookman Old Style" w:cs="Arial"/>
                <w:lang w:eastAsia="it-IT"/>
              </w:rPr>
              <w:t>. L'ultimo periodo del</w:t>
            </w:r>
            <w:r w:rsidR="00D53E9C" w:rsidRPr="00CF63B8">
              <w:rPr>
                <w:rFonts w:ascii="Bookman Old Style" w:eastAsia="Times New Roman" w:hAnsi="Bookman Old Style" w:cs="Arial"/>
                <w:lang w:eastAsia="it-IT"/>
              </w:rPr>
              <w:t> </w:t>
            </w:r>
            <w:hyperlink r:id="rId62" w:anchor="art1-com721" w:tgtFrame="rifNormativi" w:history="1">
              <w:r w:rsidR="00D53E9C" w:rsidRPr="00CF63B8">
                <w:rPr>
                  <w:rFonts w:ascii="Bookman Old Style" w:eastAsia="Times New Roman" w:hAnsi="Bookman Old Style" w:cs="Arial"/>
                  <w:lang w:eastAsia="it-IT"/>
                </w:rPr>
                <w:t>comma 721 dell'articolo 1 della legge 28 dicembre 2015, n. 208</w:t>
              </w:r>
            </w:hyperlink>
            <w:r w:rsidR="00D53E9C" w:rsidRPr="00E847D3">
              <w:rPr>
                <w:rFonts w:ascii="Bookman Old Style" w:eastAsia="Times New Roman" w:hAnsi="Bookman Old Style" w:cs="Arial"/>
                <w:lang w:eastAsia="it-IT"/>
              </w:rPr>
              <w:t>, è soppresso.</w:t>
            </w:r>
          </w:p>
        </w:tc>
        <w:tc>
          <w:tcPr>
            <w:tcW w:w="7214" w:type="dxa"/>
            <w:gridSpan w:val="2"/>
          </w:tcPr>
          <w:p w:rsidR="00D53E9C" w:rsidRPr="00B0126D" w:rsidRDefault="00B0126D" w:rsidP="00BF45A0">
            <w:pPr>
              <w:tabs>
                <w:tab w:val="left" w:pos="1530"/>
              </w:tabs>
              <w:jc w:val="both"/>
              <w:rPr>
                <w:rFonts w:ascii="Bookman Old Style" w:hAnsi="Bookman Old Style"/>
                <w:i/>
                <w:color w:val="000000"/>
              </w:rPr>
            </w:pPr>
            <w:r>
              <w:rPr>
                <w:rFonts w:ascii="Bookman Old Style" w:hAnsi="Bookman Old Style"/>
                <w:i/>
                <w:color w:val="000000"/>
              </w:rPr>
              <w:t xml:space="preserve">Il </w:t>
            </w:r>
            <w:r w:rsidRPr="00B0126D">
              <w:rPr>
                <w:rFonts w:ascii="Bookman Old Style" w:hAnsi="Bookman Old Style"/>
                <w:b/>
                <w:i/>
                <w:color w:val="000000"/>
              </w:rPr>
              <w:t>comma 464</w:t>
            </w:r>
            <w:r w:rsidR="00D53E9C" w:rsidRPr="00B0126D">
              <w:rPr>
                <w:rFonts w:ascii="Bookman Old Style" w:hAnsi="Bookman Old Style"/>
                <w:i/>
                <w:color w:val="000000"/>
              </w:rPr>
              <w:t xml:space="preserve"> abroga la disposizione relativa alla sanzione prevista qualora </w:t>
            </w:r>
            <w:r w:rsidR="00BF45A0" w:rsidRPr="00B0126D">
              <w:rPr>
                <w:rFonts w:ascii="Bookman Old Style" w:hAnsi="Bookman Old Style"/>
                <w:i/>
                <w:color w:val="000000"/>
              </w:rPr>
              <w:t xml:space="preserve">gli enti </w:t>
            </w:r>
            <w:r w:rsidR="00D53E9C" w:rsidRPr="00B0126D">
              <w:rPr>
                <w:rFonts w:ascii="Bookman Old Style" w:hAnsi="Bookman Old Style"/>
                <w:i/>
                <w:color w:val="000000"/>
              </w:rPr>
              <w:t xml:space="preserve">trasmettano la certificazione concernente la verifica dell’obiettivo di saldo oltre 60 giorni dal termine stabilito per l’approvazione del rendiconto. Si precisa che la sanzione in questione prevedeva la mancata erogazione di risorse e trasferimenti da parte del Ministero dell’Interno </w:t>
            </w:r>
          </w:p>
        </w:tc>
      </w:tr>
      <w:tr w:rsidR="00D53E9C" w:rsidTr="006E24E5">
        <w:tc>
          <w:tcPr>
            <w:tcW w:w="7213" w:type="dxa"/>
            <w:gridSpan w:val="3"/>
          </w:tcPr>
          <w:p w:rsidR="00D53E9C" w:rsidRPr="00E847D3" w:rsidRDefault="00B0126D"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465</w:t>
            </w:r>
            <w:r w:rsidR="00D53E9C" w:rsidRPr="00E847D3">
              <w:rPr>
                <w:rFonts w:ascii="Bookman Old Style" w:eastAsia="Times New Roman" w:hAnsi="Bookman Old Style" w:cs="Arial"/>
                <w:lang w:eastAsia="it-IT"/>
              </w:rPr>
              <w:t>. Ai fini della tutela dell'unità economica della Repubblica e ai sensi dell'articolo</w:t>
            </w:r>
            <w:r w:rsidR="00D53E9C" w:rsidRPr="00E847D3">
              <w:rPr>
                <w:rFonts w:ascii="Bookman Old Style" w:eastAsia="Times New Roman" w:hAnsi="Bookman Old Style" w:cs="Arial"/>
                <w:shd w:val="clear" w:color="auto" w:fill="FFFFFF"/>
                <w:lang w:eastAsia="it-IT"/>
              </w:rPr>
              <w:t>9 della</w:t>
            </w:r>
            <w:r w:rsidR="00D53E9C" w:rsidRPr="00CF63B8">
              <w:rPr>
                <w:rFonts w:ascii="Bookman Old Style" w:eastAsia="Times New Roman" w:hAnsi="Bookman Old Style" w:cs="Arial"/>
                <w:lang w:eastAsia="it-IT"/>
              </w:rPr>
              <w:t> </w:t>
            </w:r>
            <w:hyperlink r:id="rId63" w:tgtFrame="rifNormativi" w:history="1">
              <w:r w:rsidR="00D53E9C" w:rsidRPr="00CF63B8">
                <w:rPr>
                  <w:rFonts w:ascii="Bookman Old Style" w:eastAsia="Times New Roman" w:hAnsi="Bookman Old Style" w:cs="Arial"/>
                  <w:lang w:eastAsia="it-IT"/>
                </w:rPr>
                <w:t>legge 24 dicembre 2012, n. 243</w:t>
              </w:r>
            </w:hyperlink>
            <w:r w:rsidR="00D53E9C" w:rsidRPr="00E847D3">
              <w:rPr>
                <w:rFonts w:ascii="Bookman Old Style" w:eastAsia="Times New Roman" w:hAnsi="Bookman Old Style" w:cs="Arial"/>
                <w:shd w:val="clear" w:color="auto" w:fill="FFFFFF"/>
                <w:lang w:eastAsia="it-IT"/>
              </w:rPr>
              <w:t>, le regioni e le province autonome di Trento e di Bolzano, le città metropolitane, le province e i comuni concorrono alla realizzazione degli obiettivi di finanza pubblica nel rispetto delle d</w:t>
            </w:r>
            <w:r>
              <w:rPr>
                <w:rFonts w:ascii="Bookman Old Style" w:eastAsia="Times New Roman" w:hAnsi="Bookman Old Style" w:cs="Arial"/>
                <w:shd w:val="clear" w:color="auto" w:fill="FFFFFF"/>
                <w:lang w:eastAsia="it-IT"/>
              </w:rPr>
              <w:t>isposizioni di cui ai commi da 463 a 484</w:t>
            </w:r>
            <w:r w:rsidR="00D53E9C" w:rsidRPr="00E847D3">
              <w:rPr>
                <w:rFonts w:ascii="Bookman Old Style" w:eastAsia="Times New Roman" w:hAnsi="Bookman Old Style" w:cs="Arial"/>
                <w:shd w:val="clear" w:color="auto" w:fill="FFFFFF"/>
                <w:lang w:eastAsia="it-IT"/>
              </w:rPr>
              <w:t xml:space="preserve"> del presente articolo, </w:t>
            </w:r>
            <w:r w:rsidR="00D53E9C" w:rsidRPr="00E847D3">
              <w:rPr>
                <w:rFonts w:ascii="Bookman Old Style" w:eastAsia="Times New Roman" w:hAnsi="Bookman Old Style" w:cs="Arial"/>
                <w:shd w:val="clear" w:color="auto" w:fill="FFFFFF"/>
                <w:lang w:eastAsia="it-IT"/>
              </w:rPr>
              <w:lastRenderedPageBreak/>
              <w:t>che costituiscono princìpi fondamentali di coordinamento della finanza pubblica, ai sensi degli articoli 117, terzo comma, e 119, secondo comma, della Costituzione.</w:t>
            </w:r>
            <w:r w:rsidR="00D53E9C" w:rsidRPr="00CF63B8">
              <w:rPr>
                <w:rFonts w:ascii="Bookman Old Style" w:eastAsia="Times New Roman" w:hAnsi="Bookman Old Style" w:cs="Arial"/>
                <w:lang w:eastAsia="it-IT"/>
              </w:rPr>
              <w:t> </w:t>
            </w:r>
          </w:p>
        </w:tc>
        <w:tc>
          <w:tcPr>
            <w:tcW w:w="7214" w:type="dxa"/>
            <w:gridSpan w:val="2"/>
          </w:tcPr>
          <w:p w:rsidR="00BF45A0" w:rsidRPr="00D2241F" w:rsidRDefault="00B0126D" w:rsidP="00D53E9C">
            <w:pPr>
              <w:jc w:val="both"/>
              <w:rPr>
                <w:rFonts w:ascii="Bookman Old Style" w:hAnsi="Bookman Old Style"/>
                <w:i/>
              </w:rPr>
            </w:pPr>
            <w:r w:rsidRPr="00D2241F">
              <w:rPr>
                <w:rFonts w:ascii="Bookman Old Style" w:hAnsi="Bookman Old Style"/>
                <w:i/>
              </w:rPr>
              <w:lastRenderedPageBreak/>
              <w:t xml:space="preserve">Il </w:t>
            </w:r>
            <w:r w:rsidRPr="00D2241F">
              <w:rPr>
                <w:rFonts w:ascii="Bookman Old Style" w:hAnsi="Bookman Old Style"/>
                <w:b/>
                <w:i/>
              </w:rPr>
              <w:t>comma 465</w:t>
            </w:r>
            <w:r w:rsidR="00D53E9C" w:rsidRPr="00D2241F">
              <w:rPr>
                <w:rFonts w:ascii="Bookman Old Style" w:hAnsi="Bookman Old Style"/>
                <w:i/>
              </w:rPr>
              <w:t xml:space="preserve"> precisa che</w:t>
            </w:r>
            <w:r w:rsidR="00D53E9C" w:rsidRPr="00D2241F">
              <w:rPr>
                <w:rFonts w:ascii="Bookman Old Style" w:eastAsia="Times New Roman" w:hAnsi="Bookman Old Style" w:cs="Arial"/>
                <w:i/>
                <w:shd w:val="clear" w:color="auto" w:fill="FFFFFF"/>
                <w:lang w:eastAsia="it-IT"/>
              </w:rPr>
              <w:t xml:space="preserve"> le regioni e le province autonome di Trento e di Bolzano, le città metropolitane, le province e i comuni</w:t>
            </w:r>
            <w:r w:rsidR="00AA6F77" w:rsidRPr="00D2241F">
              <w:rPr>
                <w:rFonts w:ascii="Bookman Old Style" w:eastAsia="Times New Roman" w:hAnsi="Bookman Old Style" w:cs="Arial"/>
                <w:i/>
                <w:shd w:val="clear" w:color="auto" w:fill="FFFFFF"/>
                <w:lang w:eastAsia="it-IT"/>
              </w:rPr>
              <w:t xml:space="preserve"> </w:t>
            </w:r>
            <w:r w:rsidR="00D53E9C" w:rsidRPr="00D2241F">
              <w:rPr>
                <w:rFonts w:ascii="Bookman Old Style" w:hAnsi="Bookman Old Style"/>
                <w:i/>
              </w:rPr>
              <w:t xml:space="preserve">concorrono agli obiettivi di finanza pubblica nel rispetto delle nuove disposizioni relative al saldo di competenza, disciplinato dai commi 1-22 del presente articolo. </w:t>
            </w:r>
          </w:p>
          <w:p w:rsidR="00D53E9C" w:rsidRPr="00D2241F" w:rsidRDefault="00D53E9C" w:rsidP="00D2241F">
            <w:pPr>
              <w:jc w:val="both"/>
              <w:rPr>
                <w:rFonts w:ascii="Bookman Old Style" w:hAnsi="Bookman Old Style"/>
                <w:i/>
                <w:color w:val="000000"/>
              </w:rPr>
            </w:pPr>
            <w:r w:rsidRPr="00D2241F">
              <w:rPr>
                <w:rFonts w:ascii="Bookman Old Style" w:hAnsi="Bookman Old Style"/>
                <w:i/>
              </w:rPr>
              <w:t xml:space="preserve">Le Unioni di Comuni non sono quindi tenute al rispetto del vincolo, </w:t>
            </w:r>
            <w:r w:rsidRPr="00D2241F">
              <w:rPr>
                <w:rFonts w:ascii="Bookman Old Style" w:hAnsi="Bookman Old Style"/>
                <w:i/>
              </w:rPr>
              <w:lastRenderedPageBreak/>
              <w:t>mentre lo sono i Comuni nati da fusione, per i quali</w:t>
            </w:r>
            <w:r w:rsidR="00472216" w:rsidRPr="00D2241F">
              <w:rPr>
                <w:rFonts w:ascii="Bookman Old Style" w:hAnsi="Bookman Old Style"/>
                <w:i/>
              </w:rPr>
              <w:t xml:space="preserve"> tuttavia vale la pri</w:t>
            </w:r>
            <w:r w:rsidR="00D2241F" w:rsidRPr="00D2241F">
              <w:rPr>
                <w:rFonts w:ascii="Bookman Old Style" w:hAnsi="Bookman Old Style"/>
                <w:i/>
              </w:rPr>
              <w:t>o</w:t>
            </w:r>
            <w:r w:rsidR="00472216" w:rsidRPr="00D2241F">
              <w:rPr>
                <w:rFonts w:ascii="Bookman Old Style" w:hAnsi="Bookman Old Style"/>
                <w:i/>
              </w:rPr>
              <w:t xml:space="preserve">rità nell’assegnazione di spazi finanziari per il triennio 2017-19 di cui al comma </w:t>
            </w:r>
            <w:r w:rsidR="00D2241F" w:rsidRPr="00D2241F">
              <w:rPr>
                <w:rFonts w:ascii="Bookman Old Style" w:hAnsi="Bookman Old Style"/>
                <w:i/>
              </w:rPr>
              <w:t>492, che coinvolge opportunamente anche i Comuni fino a mille abitanti (già esclusi dai vincoli di Patto fino al 2015)</w:t>
            </w:r>
          </w:p>
        </w:tc>
      </w:tr>
      <w:tr w:rsidR="00D53E9C" w:rsidTr="006E24E5">
        <w:tc>
          <w:tcPr>
            <w:tcW w:w="7213" w:type="dxa"/>
            <w:gridSpan w:val="3"/>
          </w:tcPr>
          <w:p w:rsidR="00D53E9C" w:rsidRPr="00E847D3" w:rsidRDefault="006F7583" w:rsidP="00D53E9C">
            <w:pPr>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466</w:t>
            </w:r>
            <w:r w:rsidR="00D53E9C" w:rsidRPr="00E847D3">
              <w:rPr>
                <w:rFonts w:ascii="Bookman Old Style" w:eastAsia="Times New Roman" w:hAnsi="Bookman Old Style" w:cs="Arial"/>
                <w:shd w:val="clear" w:color="auto" w:fill="FFFFFF"/>
                <w:lang w:eastAsia="it-IT"/>
              </w:rPr>
              <w:t>. A decorrere dall'anno</w:t>
            </w:r>
            <w:r>
              <w:rPr>
                <w:rFonts w:ascii="Bookman Old Style" w:eastAsia="Times New Roman" w:hAnsi="Bookman Old Style" w:cs="Arial"/>
                <w:shd w:val="clear" w:color="auto" w:fill="FFFFFF"/>
                <w:lang w:eastAsia="it-IT"/>
              </w:rPr>
              <w:t xml:space="preserve"> 2017 gli enti di cui al comma 465</w:t>
            </w:r>
            <w:r w:rsidR="00D53E9C" w:rsidRPr="00E847D3">
              <w:rPr>
                <w:rFonts w:ascii="Bookman Old Style" w:eastAsia="Times New Roman" w:hAnsi="Bookman Old Style" w:cs="Arial"/>
                <w:shd w:val="clear" w:color="auto" w:fill="FFFFFF"/>
                <w:lang w:eastAsia="it-IT"/>
              </w:rPr>
              <w:t xml:space="preserve"> devono conseguire il saldo non negativo, in termini di competenza, tra le entrate finali e le spese finali, ai sensi dell'</w:t>
            </w:r>
            <w:hyperlink r:id="rId64" w:anchor="art9-com1" w:tgtFrame="rifNormativi" w:history="1">
              <w:r w:rsidR="00D53E9C" w:rsidRPr="00CF63B8">
                <w:rPr>
                  <w:rFonts w:ascii="Bookman Old Style" w:eastAsia="Times New Roman" w:hAnsi="Bookman Old Style" w:cs="Arial"/>
                  <w:lang w:eastAsia="it-IT"/>
                </w:rPr>
                <w:t>articolo 9, comma 1, della legge 24 dicembre 2012, n. 243</w:t>
              </w:r>
            </w:hyperlink>
            <w:r w:rsidR="00D53E9C" w:rsidRPr="00E847D3">
              <w:rPr>
                <w:rFonts w:ascii="Bookman Old Style" w:eastAsia="Times New Roman" w:hAnsi="Bookman Old Style" w:cs="Arial"/>
                <w:shd w:val="clear" w:color="auto" w:fill="FFFFFF"/>
                <w:lang w:eastAsia="it-IT"/>
              </w:rPr>
              <w:t>. Ai sensi del comma 1</w:t>
            </w:r>
            <w:r w:rsidR="00D53E9C" w:rsidRPr="00CF63B8">
              <w:rPr>
                <w:rFonts w:ascii="Bookman Old Style" w:eastAsia="Times New Roman" w:hAnsi="Bookman Old Style" w:cs="Arial"/>
                <w:i/>
                <w:iCs/>
                <w:lang w:eastAsia="it-IT"/>
              </w:rPr>
              <w:t>-bis</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del medesimo articolo 9, le entrate finali sono quelle ascrivibili ai titoli 1, 2, 3, 4 e 5 dello schema di bilancio previsto dal</w:t>
            </w:r>
            <w:r w:rsidR="00D53E9C" w:rsidRPr="00CF63B8">
              <w:rPr>
                <w:rFonts w:ascii="Bookman Old Style" w:eastAsia="Times New Roman" w:hAnsi="Bookman Old Style" w:cs="Arial"/>
                <w:lang w:eastAsia="it-IT"/>
              </w:rPr>
              <w:t> </w:t>
            </w:r>
            <w:hyperlink r:id="rId65" w:tgtFrame="rifNormativi" w:history="1">
              <w:r w:rsidR="00D53E9C" w:rsidRPr="00CF63B8">
                <w:rPr>
                  <w:rFonts w:ascii="Bookman Old Style" w:eastAsia="Times New Roman" w:hAnsi="Bookman Old Style" w:cs="Arial"/>
                  <w:lang w:eastAsia="it-IT"/>
                </w:rPr>
                <w:t>decreto legislativo 23 giugno 2011, n. 118</w:t>
              </w:r>
            </w:hyperlink>
            <w:r w:rsidR="00D53E9C" w:rsidRPr="00E847D3">
              <w:rPr>
                <w:rFonts w:ascii="Bookman Old Style" w:eastAsia="Times New Roman" w:hAnsi="Bookman Old Style" w:cs="Arial"/>
                <w:shd w:val="clear" w:color="auto" w:fill="FFFFFF"/>
                <w:lang w:eastAsia="it-IT"/>
              </w:rPr>
              <w:t>, e le spese finali sono quelle ascrivibili ai titoli 1, 2 e 3 del medesimo schema di bilancio. Per gli anni 2017-2019, nelle entrate e nelle spese finali in termini di competenza è considerato il fondo pluriennale vincolato, di entrata e di spesa, al netto della quota rinveniente dal ricorso all'indebitamento. A decorrere dall'esercizio 2020, tra le entrate e le spese finali è incluso il fondo pluriennale vincolato di entrata e di spesa, finanziato dalle entrate finali. Non rileva la quota del fondo pluriennale vincolato di entrata che finanzia gli impegni cancellati definitivamente dopo l'approvazione del rendiconto dell'anno precedente.</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6F7583" w:rsidP="00D53E9C">
            <w:pPr>
              <w:jc w:val="both"/>
              <w:rPr>
                <w:rFonts w:ascii="Bookman Old Style" w:eastAsia="Times New Roman" w:hAnsi="Bookman Old Style" w:cs="Arial"/>
                <w:i/>
                <w:shd w:val="clear" w:color="auto" w:fill="FFFFFF"/>
                <w:lang w:eastAsia="it-IT"/>
              </w:rPr>
            </w:pPr>
            <w:r>
              <w:rPr>
                <w:rFonts w:ascii="Bookman Old Style" w:hAnsi="Bookman Old Style"/>
                <w:i/>
                <w:color w:val="000000"/>
              </w:rPr>
              <w:t xml:space="preserve">Il </w:t>
            </w:r>
            <w:r w:rsidRPr="006F7583">
              <w:rPr>
                <w:rFonts w:ascii="Bookman Old Style" w:hAnsi="Bookman Old Style"/>
                <w:b/>
                <w:i/>
                <w:color w:val="000000"/>
              </w:rPr>
              <w:t>comma 466</w:t>
            </w:r>
            <w:r w:rsidR="00D53E9C" w:rsidRPr="00B0126D">
              <w:rPr>
                <w:rFonts w:ascii="Bookman Old Style" w:hAnsi="Bookman Old Style"/>
                <w:i/>
                <w:color w:val="000000"/>
              </w:rPr>
              <w:t xml:space="preserve"> contiene le indicazioni relative alle nuove regole di finanza pubblica previste per gli enti territoriali</w:t>
            </w:r>
            <w:r w:rsidR="00D53E9C" w:rsidRPr="00B0126D">
              <w:rPr>
                <w:rFonts w:ascii="Bookman Old Style" w:eastAsia="Times New Roman" w:hAnsi="Bookman Old Style" w:cs="Arial"/>
                <w:i/>
                <w:shd w:val="clear" w:color="auto" w:fill="FFFFFF"/>
                <w:lang w:eastAsia="it-IT"/>
              </w:rPr>
              <w:t xml:space="preserve"> di cui al precedente comma. </w:t>
            </w:r>
          </w:p>
          <w:p w:rsidR="00D53E9C" w:rsidRPr="00B0126D"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 xml:space="preserve">In particolare, confermando il vincolo già previsto per il 2016, il comma stabilisce che a decorrere dal 2017 tali enti devono conseguire un saldo non negativo, in termini di competenza, tra entrate finali (titoli 1-5 dello schema di bilancio armonizzato) e spese finali (titoli 1-3 del medesimo schema di bilancio), così come previsto dal revisionato art. 9 della legge 243/2012. </w:t>
            </w:r>
          </w:p>
          <w:p w:rsidR="00BF45A0" w:rsidRPr="00B0126D"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 xml:space="preserve">Il comma, inoltre, stabilisce l’inclusione del fondo pluriennale vincolato di entrata e di spesa nel computo del saldo finale di competenza per il periodo 2017-2019, al netto della quota rinveniente da debito. </w:t>
            </w:r>
          </w:p>
          <w:p w:rsidR="00D53E9C" w:rsidRPr="00B0126D"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 xml:space="preserve">Tale disposizione, quindi, dà attuazione alla previsione di cui al comma 1-bis dell’art. 9 della legge 243, che </w:t>
            </w:r>
            <w:r w:rsidR="00BF45A0" w:rsidRPr="00B0126D">
              <w:rPr>
                <w:rFonts w:ascii="Bookman Old Style" w:eastAsia="Times New Roman" w:hAnsi="Bookman Old Style" w:cs="Arial"/>
                <w:i/>
                <w:shd w:val="clear" w:color="auto" w:fill="FFFFFF"/>
                <w:lang w:eastAsia="it-IT"/>
              </w:rPr>
              <w:t xml:space="preserve">dopo aver indicato una nuova formulazione estesa del saldo con decorrenza dal 2020, </w:t>
            </w:r>
            <w:r w:rsidRPr="00B0126D">
              <w:rPr>
                <w:rFonts w:ascii="Bookman Old Style" w:eastAsia="Times New Roman" w:hAnsi="Bookman Old Style" w:cs="Arial"/>
                <w:i/>
                <w:shd w:val="clear" w:color="auto" w:fill="FFFFFF"/>
                <w:lang w:eastAsia="it-IT"/>
              </w:rPr>
              <w:t>demanda alla legge di bilancio la scelta relativa all’inclusione del FPV nel saldo per il triennio 2017-2019, compatibilmente con gli obiettivi di finanza pubblica. L’inclusione del FPV per l’intero triennio, in continuità con il 2016, consente quindi di proseguire il rilancio degli investimenti pubblici locali faticosamente avviato. Risulta importante segnalare la modifica strutturale che dal 2020 investirà il FPV utile ai fini dal saldo di finanza pubblica. Fino al 2019, infatti, sarà incluso nel saldo l’intero FPV, al netto della sola quota rinveniente da debito, mentre dal 2020 risulterà valido per il rispetto degli obiettivi di finanza pubblica il FPV esclusivamente finanziato dalle entrate finali comprese nel saldo</w:t>
            </w:r>
            <w:r w:rsidR="005B4A99" w:rsidRPr="00B0126D">
              <w:rPr>
                <w:rFonts w:ascii="Bookman Old Style" w:eastAsia="Times New Roman" w:hAnsi="Bookman Old Style" w:cs="Arial"/>
                <w:i/>
                <w:shd w:val="clear" w:color="auto" w:fill="FFFFFF"/>
                <w:lang w:eastAsia="it-IT"/>
              </w:rPr>
              <w:t xml:space="preserve">, elemento che inciderà sulle condizioni di assorbimento degli avanzi </w:t>
            </w:r>
            <w:r w:rsidR="00045C15" w:rsidRPr="00B0126D">
              <w:rPr>
                <w:rFonts w:ascii="Bookman Old Style" w:eastAsia="Times New Roman" w:hAnsi="Bookman Old Style" w:cs="Arial"/>
                <w:i/>
                <w:shd w:val="clear" w:color="auto" w:fill="FFFFFF"/>
                <w:lang w:eastAsia="it-IT"/>
              </w:rPr>
              <w:t>e richiederà una maggiore capacità programmatoria delle opere</w:t>
            </w:r>
            <w:r w:rsidRPr="00B0126D">
              <w:rPr>
                <w:rFonts w:ascii="Bookman Old Style" w:eastAsia="Times New Roman" w:hAnsi="Bookman Old Style" w:cs="Arial"/>
                <w:i/>
                <w:shd w:val="clear" w:color="auto" w:fill="FFFFFF"/>
                <w:lang w:eastAsia="it-IT"/>
              </w:rPr>
              <w:t>.</w:t>
            </w:r>
          </w:p>
          <w:p w:rsidR="00D53E9C" w:rsidRPr="006F7583"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 xml:space="preserve">Infine, rimane da evidenziare che dal 2017, </w:t>
            </w:r>
            <w:r w:rsidRPr="00B0126D">
              <w:rPr>
                <w:rFonts w:ascii="Bookman Old Style" w:hAnsi="Bookman Old Style"/>
                <w:i/>
                <w:color w:val="000000"/>
              </w:rPr>
              <w:t xml:space="preserve">nel computo del saldo </w:t>
            </w:r>
            <w:r w:rsidRPr="00B0126D">
              <w:rPr>
                <w:rFonts w:ascii="Bookman Old Style" w:hAnsi="Bookman Old Style"/>
                <w:i/>
                <w:color w:val="000000"/>
              </w:rPr>
              <w:lastRenderedPageBreak/>
              <w:t xml:space="preserve">finale, </w:t>
            </w:r>
            <w:r w:rsidRPr="00B0126D">
              <w:rPr>
                <w:rFonts w:ascii="Bookman Old Style" w:eastAsia="Times New Roman" w:hAnsi="Bookman Old Style" w:cs="Arial"/>
                <w:i/>
                <w:shd w:val="clear" w:color="auto" w:fill="FFFFFF"/>
                <w:lang w:eastAsia="it-IT"/>
              </w:rPr>
              <w:t>non rileva la quota del fondo pluriennale vincolato di entrata che finanzia gli impegni cancellati definitivamente dopo l'approvazione del rendiconto dell'anno precedente</w:t>
            </w:r>
            <w:r w:rsidR="006F7583">
              <w:rPr>
                <w:rFonts w:ascii="Bookman Old Style" w:eastAsia="Times New Roman" w:hAnsi="Bookman Old Style" w:cs="Arial"/>
                <w:i/>
                <w:shd w:val="clear" w:color="auto" w:fill="FFFFFF"/>
                <w:lang w:eastAsia="it-IT"/>
              </w:rPr>
              <w:t>.</w:t>
            </w:r>
          </w:p>
        </w:tc>
      </w:tr>
      <w:tr w:rsidR="00D53E9C" w:rsidTr="006E24E5">
        <w:tc>
          <w:tcPr>
            <w:tcW w:w="7213" w:type="dxa"/>
            <w:gridSpan w:val="3"/>
          </w:tcPr>
          <w:p w:rsidR="00D53E9C" w:rsidRPr="00E847D3" w:rsidRDefault="006F7583"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467</w:t>
            </w:r>
            <w:r w:rsidR="00D53E9C" w:rsidRPr="00E847D3">
              <w:rPr>
                <w:rFonts w:ascii="Bookman Old Style" w:eastAsia="Times New Roman" w:hAnsi="Bookman Old Style" w:cs="Arial"/>
                <w:shd w:val="clear" w:color="auto" w:fill="FFFFFF"/>
                <w:lang w:eastAsia="it-IT"/>
              </w:rPr>
              <w:t>. Le risorse accantonate nel fondo pluriennale di spesa dell'esercizio 2015 in applicazione del punto 5.4 del principio contabile applicato concernente la contabilità finanziaria di cui all'allegato n. 4/2 annesso al</w:t>
            </w:r>
            <w:r w:rsidR="00D53E9C" w:rsidRPr="00CF63B8">
              <w:rPr>
                <w:rFonts w:ascii="Bookman Old Style" w:eastAsia="Times New Roman" w:hAnsi="Bookman Old Style" w:cs="Arial"/>
                <w:lang w:eastAsia="it-IT"/>
              </w:rPr>
              <w:t> </w:t>
            </w:r>
            <w:hyperlink r:id="rId66" w:tgtFrame="rifNormativi" w:history="1">
              <w:r w:rsidR="00D53E9C" w:rsidRPr="00CF63B8">
                <w:rPr>
                  <w:rFonts w:ascii="Bookman Old Style" w:eastAsia="Times New Roman" w:hAnsi="Bookman Old Style" w:cs="Arial"/>
                  <w:lang w:eastAsia="it-IT"/>
                </w:rPr>
                <w:t>decreto legislativo 23 giugno 2011, n. 118</w:t>
              </w:r>
            </w:hyperlink>
            <w:r w:rsidR="00D53E9C" w:rsidRPr="00E847D3">
              <w:rPr>
                <w:rFonts w:ascii="Bookman Old Style" w:eastAsia="Times New Roman" w:hAnsi="Bookman Old Style" w:cs="Arial"/>
                <w:shd w:val="clear" w:color="auto" w:fill="FFFFFF"/>
                <w:lang w:eastAsia="it-IT"/>
              </w:rPr>
              <w:t>, per finanziare le spese contenute nei quadri economici relative a investimenti per lavori pubblici e quelle per procedure di affidamento già attivate, se non utilizzate possono essere conservate nel fondo pluriennale vincolato di spesa dell'esercizio 2016 purché riguardanti opere per le quali l'ente disponga del progetto esecutivo degli investimenti redatto e validato in conformità alla vigente normativa, completo</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del cronoprogramma di spesa e a condizione che il bilancio di previsione 2017 – 2019 sia approvato entro il 31 gennaio 2017. Tali risorse confluiscono nel risultato di amministrazione se entro l'esercizio 2017 non sono assunti i relativi impegni di spesa.</w:t>
            </w:r>
          </w:p>
        </w:tc>
        <w:tc>
          <w:tcPr>
            <w:tcW w:w="7214" w:type="dxa"/>
            <w:gridSpan w:val="2"/>
          </w:tcPr>
          <w:p w:rsidR="00D53E9C" w:rsidRPr="00B0126D"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Il punto 5.4 del principio della contabilità finanziaria prevede che in assenza di aggiudicazione definitiva</w:t>
            </w:r>
            <w:r w:rsidR="00045C15" w:rsidRPr="00B0126D">
              <w:rPr>
                <w:rFonts w:ascii="Bookman Old Style" w:eastAsia="Times New Roman" w:hAnsi="Bookman Old Style" w:cs="Arial"/>
                <w:i/>
                <w:shd w:val="clear" w:color="auto" w:fill="FFFFFF"/>
                <w:lang w:eastAsia="it-IT"/>
              </w:rPr>
              <w:t xml:space="preserve"> di un’opera avviata nel 2015 (bando di gara o effettuazione di spese preliminari)</w:t>
            </w:r>
            <w:r w:rsidRPr="00B0126D">
              <w:rPr>
                <w:rFonts w:ascii="Bookman Old Style" w:eastAsia="Times New Roman" w:hAnsi="Bookman Old Style" w:cs="Arial"/>
                <w:i/>
                <w:shd w:val="clear" w:color="auto" w:fill="FFFFFF"/>
                <w:lang w:eastAsia="it-IT"/>
              </w:rPr>
              <w:t xml:space="preserve"> entro l’anno successivo (ossia il 2016), le spese contenute nei quadri economici ed accantonate nel fondo pluriennale vincolato riconfluiscono nell’avanzo di amministrazione. </w:t>
            </w:r>
          </w:p>
          <w:p w:rsidR="00D53E9C" w:rsidRPr="00B0126D" w:rsidRDefault="006F7583" w:rsidP="00045C15">
            <w:pPr>
              <w:jc w:val="both"/>
              <w:rPr>
                <w:rFonts w:ascii="Bookman Old Style" w:eastAsia="Times New Roman" w:hAnsi="Bookman Old Style" w:cs="Arial"/>
                <w:i/>
                <w:shd w:val="clear" w:color="auto" w:fill="FFFFFF"/>
                <w:lang w:eastAsia="it-IT"/>
              </w:rPr>
            </w:pPr>
            <w:r>
              <w:rPr>
                <w:rFonts w:ascii="Bookman Old Style" w:eastAsia="Times New Roman" w:hAnsi="Bookman Old Style" w:cs="Arial"/>
                <w:i/>
                <w:shd w:val="clear" w:color="auto" w:fill="FFFFFF"/>
                <w:lang w:eastAsia="it-IT"/>
              </w:rPr>
              <w:t xml:space="preserve">Il </w:t>
            </w:r>
            <w:r w:rsidRPr="006F7583">
              <w:rPr>
                <w:rFonts w:ascii="Bookman Old Style" w:eastAsia="Times New Roman" w:hAnsi="Bookman Old Style" w:cs="Arial"/>
                <w:b/>
                <w:i/>
                <w:shd w:val="clear" w:color="auto" w:fill="FFFFFF"/>
                <w:lang w:eastAsia="it-IT"/>
              </w:rPr>
              <w:t>comma 467</w:t>
            </w:r>
            <w:r w:rsidR="00D53E9C" w:rsidRPr="00B0126D">
              <w:rPr>
                <w:rFonts w:ascii="Bookman Old Style" w:eastAsia="Times New Roman" w:hAnsi="Bookman Old Style" w:cs="Arial"/>
                <w:i/>
                <w:shd w:val="clear" w:color="auto" w:fill="FFFFFF"/>
                <w:lang w:eastAsia="it-IT"/>
              </w:rPr>
              <w:t>, invece, recependo una proposta che l’ANCI ha avanzato a seguito delle oggettive difficoltà incontrate dagli enti con l’entrata in vigore del nuovo codice degli appalti</w:t>
            </w:r>
            <w:r w:rsidR="00045C15" w:rsidRPr="00B0126D">
              <w:rPr>
                <w:rFonts w:ascii="Bookman Old Style" w:eastAsia="Times New Roman" w:hAnsi="Bookman Old Style" w:cs="Arial"/>
                <w:i/>
                <w:shd w:val="clear" w:color="auto" w:fill="FFFFFF"/>
                <w:lang w:eastAsia="it-IT"/>
              </w:rPr>
              <w:t>,</w:t>
            </w:r>
            <w:r w:rsidR="00D53E9C" w:rsidRPr="00B0126D">
              <w:rPr>
                <w:rFonts w:ascii="Bookman Old Style" w:eastAsia="Times New Roman" w:hAnsi="Bookman Old Style" w:cs="Arial"/>
                <w:i/>
                <w:shd w:val="clear" w:color="auto" w:fill="FFFFFF"/>
                <w:lang w:eastAsia="it-IT"/>
              </w:rPr>
              <w:t xml:space="preserve"> consente il mantenimento di dette somme nel FPV anche per il 2017. Tale deroga è concessa solo per le opere per le quali l'ente dispone già del progetto esecutivo degli investimenti redatto e validato in conformità alla vigente normativa, completo del cronoprogramma di spesa. Se entro il 2017 non sono assunti impegni su tali risorse, queste confluiscono nel risultato di amministrazione.</w:t>
            </w:r>
          </w:p>
          <w:p w:rsidR="00045C15" w:rsidRPr="00B0126D" w:rsidRDefault="00045C15" w:rsidP="00045C15">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La misura straordinaria è applicabile inoltre a condizione che il bilancio di previsione 2017 – 2019 venga approvato entro il 31 gennaio 2017.</w:t>
            </w:r>
          </w:p>
        </w:tc>
      </w:tr>
      <w:tr w:rsidR="00D53E9C" w:rsidTr="006E24E5">
        <w:tc>
          <w:tcPr>
            <w:tcW w:w="7213" w:type="dxa"/>
            <w:gridSpan w:val="3"/>
          </w:tcPr>
          <w:p w:rsidR="00D53E9C" w:rsidRDefault="006F7583" w:rsidP="00A52622">
            <w:pPr>
              <w:spacing w:after="120"/>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w:t>
            </w:r>
            <w:r w:rsidR="00D53E9C" w:rsidRPr="00E847D3">
              <w:rPr>
                <w:rFonts w:ascii="Bookman Old Style" w:eastAsia="Times New Roman" w:hAnsi="Bookman Old Style" w:cs="Arial"/>
                <w:shd w:val="clear" w:color="auto" w:fill="FFFFFF"/>
                <w:lang w:eastAsia="it-IT"/>
              </w:rPr>
              <w:t>6</w:t>
            </w:r>
            <w:r>
              <w:rPr>
                <w:rFonts w:ascii="Bookman Old Style" w:eastAsia="Times New Roman" w:hAnsi="Bookman Old Style" w:cs="Arial"/>
                <w:shd w:val="clear" w:color="auto" w:fill="FFFFFF"/>
                <w:lang w:eastAsia="it-IT"/>
              </w:rPr>
              <w:t>8</w:t>
            </w:r>
            <w:r w:rsidR="00D53E9C" w:rsidRPr="00E847D3">
              <w:rPr>
                <w:rFonts w:ascii="Bookman Old Style" w:eastAsia="Times New Roman" w:hAnsi="Bookman Old Style" w:cs="Arial"/>
                <w:shd w:val="clear" w:color="auto" w:fill="FFFFFF"/>
                <w:lang w:eastAsia="it-IT"/>
              </w:rPr>
              <w:t>. Al fine di garantire l'equilibrio di cui al comma 4</w:t>
            </w:r>
            <w:r w:rsidR="00DB08D6">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nella fase di previsione, in attuazione del</w:t>
            </w:r>
            <w:r w:rsidR="00D53E9C" w:rsidRPr="00CF63B8">
              <w:rPr>
                <w:rFonts w:ascii="Bookman Old Style" w:eastAsia="Times New Roman" w:hAnsi="Bookman Old Style" w:cs="Arial"/>
                <w:lang w:eastAsia="it-IT"/>
              </w:rPr>
              <w:t> </w:t>
            </w:r>
            <w:hyperlink r:id="rId67" w:anchor="art9-com1" w:tgtFrame="rifNormativi" w:history="1">
              <w:r w:rsidR="00D53E9C" w:rsidRPr="00CF63B8">
                <w:rPr>
                  <w:rFonts w:ascii="Bookman Old Style" w:eastAsia="Times New Roman" w:hAnsi="Bookman Old Style" w:cs="Arial"/>
                  <w:lang w:eastAsia="it-IT"/>
                </w:rPr>
                <w:t>comma 1 dell'articolo 9 della legge 24 dicembre 2012, n. 243</w:t>
              </w:r>
            </w:hyperlink>
            <w:r w:rsidR="00D53E9C" w:rsidRPr="00E847D3">
              <w:rPr>
                <w:rFonts w:ascii="Bookman Old Style" w:eastAsia="Times New Roman" w:hAnsi="Bookman Old Style" w:cs="Arial"/>
                <w:shd w:val="clear" w:color="auto" w:fill="FFFFFF"/>
                <w:lang w:eastAsia="it-IT"/>
              </w:rPr>
              <w:t>, al bilancio di previsione è allegato il prospetto dimostrativo del rispetto del saldo di cui al comma 4</w:t>
            </w:r>
            <w:r w:rsidR="00DB08D6">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xml:space="preserve"> del presente articolo, previsto nell'allegato n. 9 del</w:t>
            </w:r>
            <w:r w:rsidR="00D53E9C" w:rsidRPr="00CF63B8">
              <w:rPr>
                <w:rFonts w:ascii="Bookman Old Style" w:eastAsia="Times New Roman" w:hAnsi="Bookman Old Style" w:cs="Arial"/>
                <w:lang w:eastAsia="it-IT"/>
              </w:rPr>
              <w:t> </w:t>
            </w:r>
            <w:hyperlink r:id="rId68" w:tgtFrame="rifNormativi" w:history="1">
              <w:r w:rsidR="00D53E9C" w:rsidRPr="00CF63B8">
                <w:rPr>
                  <w:rFonts w:ascii="Bookman Old Style" w:eastAsia="Times New Roman" w:hAnsi="Bookman Old Style" w:cs="Arial"/>
                  <w:lang w:eastAsia="it-IT"/>
                </w:rPr>
                <w:t>decreto legislativo 23 giugno 2011, n. 118</w:t>
              </w:r>
            </w:hyperlink>
            <w:r w:rsidR="00D53E9C" w:rsidRPr="00E847D3">
              <w:rPr>
                <w:rFonts w:ascii="Bookman Old Style" w:eastAsia="Times New Roman" w:hAnsi="Bookman Old Style" w:cs="Arial"/>
                <w:shd w:val="clear" w:color="auto" w:fill="FFFFFF"/>
                <w:lang w:eastAsia="it-IT"/>
              </w:rPr>
              <w:t xml:space="preserve">, vigente alla data dell'approvazione di tale documento contabile. A tal fine, il prospetto allegato al bilancio di previsione non considera gli stanziamenti non finanziati dall'avanzo di amministrazione del fondo crediti di dubbia esigibilità e dei fondi spese e rischi futuri concernenti accantonamenti destinati a confluire nel risultato di amministrazione. Il prospetto è aggiornato dal Ministero dell'economia e delle finanze – Dipartimento della Ragioneria generale dello Stato a seguito di successivi interventi normativi volti a modificare le regole vigenti di riferimento, dandone </w:t>
            </w:r>
            <w:r w:rsidR="00D53E9C" w:rsidRPr="00E847D3">
              <w:rPr>
                <w:rFonts w:ascii="Bookman Old Style" w:eastAsia="Times New Roman" w:hAnsi="Bookman Old Style" w:cs="Arial"/>
                <w:shd w:val="clear" w:color="auto" w:fill="FFFFFF"/>
                <w:lang w:eastAsia="it-IT"/>
              </w:rPr>
              <w:lastRenderedPageBreak/>
              <w:t>comunicazione alla Commissione per l'armonizzazione degli enti territoriali. Entro sessanta giorni dall'aggiornamento, il Consiglio approva le necessarie variazioni al bilancio di previsione. Nel corso dell'esercizio, ai fini della verifica del rispetto del saldo, il prospetto di cui al terzo periodo è allegato alle variazioni di bilancio approvate dal Consiglio e a quelle di cui:</w:t>
            </w:r>
          </w:p>
          <w:p w:rsidR="00D53E9C" w:rsidRDefault="00D53E9C" w:rsidP="00A52622">
            <w:pPr>
              <w:shd w:val="clear" w:color="auto" w:fill="FFFFFF"/>
              <w:spacing w:after="120"/>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all'articolo 175, comma 5</w:t>
            </w:r>
            <w:r w:rsidRPr="00CF63B8">
              <w:rPr>
                <w:rFonts w:ascii="Bookman Old Style" w:eastAsia="Times New Roman" w:hAnsi="Bookman Old Style" w:cs="Arial"/>
                <w:i/>
                <w:iCs/>
                <w:lang w:eastAsia="it-IT"/>
              </w:rPr>
              <w:t>-bis</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w:t>
            </w:r>
            <w:r w:rsidRPr="00E847D3">
              <w:rPr>
                <w:rFonts w:ascii="Bookman Old Style" w:eastAsia="Times New Roman" w:hAnsi="Bookman Old Style" w:cs="Arial"/>
                <w:lang w:eastAsia="it-IT"/>
              </w:rPr>
              <w:t>, del testo unico di cui al</w:t>
            </w:r>
            <w:r w:rsidRPr="00CF63B8">
              <w:rPr>
                <w:rFonts w:ascii="Bookman Old Style" w:eastAsia="Times New Roman" w:hAnsi="Bookman Old Style" w:cs="Arial"/>
                <w:lang w:eastAsia="it-IT"/>
              </w:rPr>
              <w:t> </w:t>
            </w:r>
            <w:hyperlink r:id="rId69"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lang w:eastAsia="it-IT"/>
              </w:rPr>
              <w:t>;</w:t>
            </w:r>
          </w:p>
          <w:p w:rsidR="00D53E9C" w:rsidRDefault="00D53E9C" w:rsidP="00A52622">
            <w:pPr>
              <w:shd w:val="clear" w:color="auto" w:fill="FFFFFF"/>
              <w:spacing w:after="120"/>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all'articolo 175, comma 5</w:t>
            </w:r>
            <w:r w:rsidRPr="00CF63B8">
              <w:rPr>
                <w:rFonts w:ascii="Bookman Old Style" w:eastAsia="Times New Roman" w:hAnsi="Bookman Old Style" w:cs="Arial"/>
                <w:i/>
                <w:iCs/>
                <w:lang w:eastAsia="it-IT"/>
              </w:rPr>
              <w:t>-quater</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E847D3">
              <w:rPr>
                <w:rFonts w:ascii="Bookman Old Style" w:eastAsia="Times New Roman" w:hAnsi="Bookman Old Style" w:cs="Arial"/>
                <w:lang w:eastAsia="it-IT"/>
              </w:rPr>
              <w:t>, del testo unico di cui al</w:t>
            </w:r>
            <w:r w:rsidRPr="00CF63B8">
              <w:rPr>
                <w:rFonts w:ascii="Bookman Old Style" w:eastAsia="Times New Roman" w:hAnsi="Bookman Old Style" w:cs="Arial"/>
                <w:lang w:eastAsia="it-IT"/>
              </w:rPr>
              <w:t> </w:t>
            </w:r>
            <w:hyperlink r:id="rId70"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lang w:eastAsia="it-IT"/>
              </w:rPr>
              <w:t>, se relativa al Fondo pluriennale vincolato non rilevante ai fini del saldo di cui al comma 4</w:t>
            </w:r>
            <w:r w:rsidR="00DB08D6">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del presente articolo;</w:t>
            </w:r>
          </w:p>
          <w:p w:rsidR="00D53E9C" w:rsidRDefault="00D53E9C" w:rsidP="00A52622">
            <w:pPr>
              <w:shd w:val="clear" w:color="auto" w:fill="FFFFFF"/>
              <w:spacing w:after="120"/>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all'articolo 175, comma 5</w:t>
            </w:r>
            <w:r w:rsidRPr="00CF63B8">
              <w:rPr>
                <w:rFonts w:ascii="Bookman Old Style" w:eastAsia="Times New Roman" w:hAnsi="Bookman Old Style" w:cs="Arial"/>
                <w:i/>
                <w:iCs/>
                <w:lang w:eastAsia="it-IT"/>
              </w:rPr>
              <w:t>-quater</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e-bis)</w:t>
            </w:r>
            <w:r w:rsidRPr="00E847D3">
              <w:rPr>
                <w:rFonts w:ascii="Bookman Old Style" w:eastAsia="Times New Roman" w:hAnsi="Bookman Old Style" w:cs="Arial"/>
                <w:lang w:eastAsia="it-IT"/>
              </w:rPr>
              <w:t>, del testo unico di cui al</w:t>
            </w:r>
            <w:r w:rsidRPr="00CF63B8">
              <w:rPr>
                <w:rFonts w:ascii="Bookman Old Style" w:eastAsia="Times New Roman" w:hAnsi="Bookman Old Style" w:cs="Arial"/>
                <w:lang w:eastAsia="it-IT"/>
              </w:rPr>
              <w:t> </w:t>
            </w:r>
            <w:hyperlink r:id="rId71"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lang w:eastAsia="it-IT"/>
              </w:rPr>
              <w:t>, riguardanti le operazioni di indebitamento;</w:t>
            </w:r>
          </w:p>
          <w:p w:rsidR="00D53E9C" w:rsidRDefault="00D53E9C" w:rsidP="00A52622">
            <w:pPr>
              <w:shd w:val="clear" w:color="auto" w:fill="FFFFFF"/>
              <w:spacing w:after="120"/>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all'articolo 51, comma 2, lettere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e</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g)</w:t>
            </w:r>
            <w:r w:rsidRPr="00E847D3">
              <w:rPr>
                <w:rFonts w:ascii="Bookman Old Style" w:eastAsia="Times New Roman" w:hAnsi="Bookman Old Style" w:cs="Arial"/>
                <w:lang w:eastAsia="it-IT"/>
              </w:rPr>
              <w:t>, del</w:t>
            </w:r>
            <w:r w:rsidRPr="00CF63B8">
              <w:rPr>
                <w:rFonts w:ascii="Bookman Old Style" w:eastAsia="Times New Roman" w:hAnsi="Bookman Old Style" w:cs="Arial"/>
                <w:lang w:eastAsia="it-IT"/>
              </w:rPr>
              <w:t> </w:t>
            </w:r>
            <w:hyperlink r:id="rId72" w:tgtFrame="rifNormativi" w:history="1">
              <w:r w:rsidRPr="00CF63B8">
                <w:rPr>
                  <w:rFonts w:ascii="Bookman Old Style" w:eastAsia="Times New Roman" w:hAnsi="Bookman Old Style" w:cs="Arial"/>
                  <w:lang w:eastAsia="it-IT"/>
                </w:rPr>
                <w:t>decreto legislativo 23 giugno 2011, n. 118</w:t>
              </w:r>
            </w:hyperlink>
            <w:r w:rsidRPr="00E847D3">
              <w:rPr>
                <w:rFonts w:ascii="Bookman Old Style" w:eastAsia="Times New Roman" w:hAnsi="Bookman Old Style" w:cs="Arial"/>
                <w:lang w:eastAsia="it-IT"/>
              </w:rPr>
              <w:t>;</w:t>
            </w:r>
          </w:p>
          <w:p w:rsidR="00D53E9C" w:rsidRPr="00E847D3" w:rsidRDefault="00D53E9C" w:rsidP="00A52622">
            <w:pPr>
              <w:shd w:val="clear" w:color="auto" w:fill="FFFFFF"/>
              <w:spacing w:after="120"/>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w:t>
            </w:r>
            <w:hyperlink r:id="rId73" w:anchor="art51-com4" w:tgtFrame="rifNormativi" w:history="1">
              <w:r w:rsidRPr="00CF63B8">
                <w:rPr>
                  <w:rFonts w:ascii="Bookman Old Style" w:eastAsia="Times New Roman" w:hAnsi="Bookman Old Style" w:cs="Arial"/>
                  <w:lang w:eastAsia="it-IT"/>
                </w:rPr>
                <w:t>articolo 51, comma 4, del decreto legislativo 23 giugno 2011, n. 118</w:t>
              </w:r>
            </w:hyperlink>
            <w:r w:rsidRPr="00E847D3">
              <w:rPr>
                <w:rFonts w:ascii="Bookman Old Style" w:eastAsia="Times New Roman" w:hAnsi="Bookman Old Style" w:cs="Arial"/>
                <w:lang w:eastAsia="it-IT"/>
              </w:rPr>
              <w:t>, riguardanti la reiscrizione di economie di spesa e il fondo pluriennale vincolato.</w:t>
            </w:r>
          </w:p>
        </w:tc>
        <w:tc>
          <w:tcPr>
            <w:tcW w:w="7214" w:type="dxa"/>
            <w:gridSpan w:val="2"/>
          </w:tcPr>
          <w:p w:rsidR="00D53E9C" w:rsidRPr="00B0126D" w:rsidRDefault="00DB08D6" w:rsidP="00D53E9C">
            <w:pPr>
              <w:jc w:val="both"/>
              <w:rPr>
                <w:rFonts w:ascii="Bookman Old Style" w:eastAsia="Times New Roman" w:hAnsi="Bookman Old Style" w:cs="Arial"/>
                <w:i/>
                <w:shd w:val="clear" w:color="auto" w:fill="FFFFFF"/>
                <w:lang w:eastAsia="it-IT"/>
              </w:rPr>
            </w:pPr>
            <w:r>
              <w:rPr>
                <w:rFonts w:ascii="Bookman Old Style" w:eastAsia="Times New Roman" w:hAnsi="Bookman Old Style" w:cs="Arial"/>
                <w:i/>
                <w:shd w:val="clear" w:color="auto" w:fill="FFFFFF"/>
                <w:lang w:eastAsia="it-IT"/>
              </w:rPr>
              <w:lastRenderedPageBreak/>
              <w:t>I commi 468-474</w:t>
            </w:r>
            <w:r w:rsidR="00D53E9C" w:rsidRPr="00B0126D">
              <w:rPr>
                <w:rFonts w:ascii="Bookman Old Style" w:eastAsia="Times New Roman" w:hAnsi="Bookman Old Style" w:cs="Arial"/>
                <w:i/>
                <w:shd w:val="clear" w:color="auto" w:fill="FFFFFF"/>
                <w:lang w:eastAsia="it-IT"/>
              </w:rPr>
              <w:t xml:space="preserve"> contengono disposizioni relative al monitoraggio e alla certificazione del rispetto dell’obiettivo del pareggio di bilancio 2017, in continuità con quanto già previsto dalla legge di stabilità 2016.  </w:t>
            </w:r>
          </w:p>
          <w:p w:rsidR="00D53E9C" w:rsidRPr="00B0126D" w:rsidRDefault="00D53E9C" w:rsidP="00D53E9C">
            <w:pPr>
              <w:jc w:val="both"/>
              <w:rPr>
                <w:rFonts w:ascii="Bookman Old Style" w:hAnsi="Bookman Old Style"/>
                <w:i/>
              </w:rPr>
            </w:pPr>
            <w:r w:rsidRPr="00B0126D">
              <w:rPr>
                <w:rFonts w:ascii="Bookman Old Style" w:eastAsia="Times New Roman" w:hAnsi="Bookman Old Style" w:cs="Arial"/>
                <w:i/>
                <w:shd w:val="clear" w:color="auto" w:fill="FFFFFF"/>
                <w:lang w:eastAsia="it-IT"/>
              </w:rPr>
              <w:t xml:space="preserve">In particolare, il </w:t>
            </w:r>
            <w:r w:rsidRPr="00DB08D6">
              <w:rPr>
                <w:rFonts w:ascii="Bookman Old Style" w:eastAsia="Times New Roman" w:hAnsi="Bookman Old Style" w:cs="Arial"/>
                <w:b/>
                <w:i/>
                <w:shd w:val="clear" w:color="auto" w:fill="FFFFFF"/>
                <w:lang w:eastAsia="it-IT"/>
              </w:rPr>
              <w:t xml:space="preserve">comma </w:t>
            </w:r>
            <w:r w:rsidR="00DB08D6" w:rsidRPr="00DB08D6">
              <w:rPr>
                <w:rFonts w:ascii="Bookman Old Style" w:eastAsia="Times New Roman" w:hAnsi="Bookman Old Style" w:cs="Arial"/>
                <w:b/>
                <w:i/>
                <w:shd w:val="clear" w:color="auto" w:fill="FFFFFF"/>
                <w:lang w:eastAsia="it-IT"/>
              </w:rPr>
              <w:t>4</w:t>
            </w:r>
            <w:r w:rsidRPr="00DB08D6">
              <w:rPr>
                <w:rFonts w:ascii="Bookman Old Style" w:eastAsia="Times New Roman" w:hAnsi="Bookman Old Style" w:cs="Arial"/>
                <w:b/>
                <w:i/>
                <w:shd w:val="clear" w:color="auto" w:fill="FFFFFF"/>
                <w:lang w:eastAsia="it-IT"/>
              </w:rPr>
              <w:t>6</w:t>
            </w:r>
            <w:r w:rsidR="00DB08D6" w:rsidRPr="00DB08D6">
              <w:rPr>
                <w:rFonts w:ascii="Bookman Old Style" w:eastAsia="Times New Roman" w:hAnsi="Bookman Old Style" w:cs="Arial"/>
                <w:b/>
                <w:i/>
                <w:shd w:val="clear" w:color="auto" w:fill="FFFFFF"/>
                <w:lang w:eastAsia="it-IT"/>
              </w:rPr>
              <w:t>8</w:t>
            </w:r>
            <w:r w:rsidRPr="00B0126D">
              <w:rPr>
                <w:rFonts w:ascii="Bookman Old Style" w:eastAsia="Times New Roman" w:hAnsi="Bookman Old Style" w:cs="Arial"/>
                <w:i/>
                <w:shd w:val="clear" w:color="auto" w:fill="FFFFFF"/>
                <w:lang w:eastAsia="it-IT"/>
              </w:rPr>
              <w:t xml:space="preserve"> prevede che gli enti, al fine di dimostrare il rispetto del saldo, devono allegare </w:t>
            </w:r>
            <w:r w:rsidRPr="00B0126D">
              <w:rPr>
                <w:rFonts w:ascii="Bookman Old Style" w:hAnsi="Bookman Old Style"/>
                <w:i/>
              </w:rPr>
              <w:t>al bilancio di previsione il prospetto previsto dall’allegato 9 al d.lgs</w:t>
            </w:r>
            <w:r w:rsidR="00045C15" w:rsidRPr="00B0126D">
              <w:rPr>
                <w:rFonts w:ascii="Bookman Old Style" w:hAnsi="Bookman Old Style"/>
                <w:i/>
              </w:rPr>
              <w:t>.</w:t>
            </w:r>
            <w:r w:rsidRPr="00B0126D">
              <w:rPr>
                <w:rFonts w:ascii="Bookman Old Style" w:hAnsi="Bookman Old Style"/>
                <w:i/>
              </w:rPr>
              <w:t xml:space="preserve"> 118/2011. Tale prospetto esclude gli stanziamenti non finanziati dall’avanzo di amministrazione del Fondo crediti di dubbia esigibilità e dei fondi spese e rischi futuri. Tale prospetto, già utilizzato nel 2016, sarà aggiornato dalla Commissione Arconet sulla base di successivi interventi normativi che ne dovessero modificare la struttura. </w:t>
            </w:r>
          </w:p>
          <w:p w:rsidR="00D53E9C" w:rsidRPr="00B0126D" w:rsidRDefault="00D53E9C" w:rsidP="00D53E9C">
            <w:p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 xml:space="preserve">Nel corso dell’esercizio, ai fini della verifica del rispetto del saldo, il prospetto è allegato alle variazioni di bilancio approvate dal </w:t>
            </w:r>
            <w:r w:rsidRPr="00B0126D">
              <w:rPr>
                <w:rFonts w:ascii="Bookman Old Style" w:eastAsia="Times New Roman" w:hAnsi="Bookman Old Style" w:cs="Arial"/>
                <w:i/>
                <w:shd w:val="clear" w:color="auto" w:fill="FFFFFF"/>
                <w:lang w:eastAsia="it-IT"/>
              </w:rPr>
              <w:lastRenderedPageBreak/>
              <w:t>Consiglio e riguardanti:</w:t>
            </w:r>
          </w:p>
          <w:p w:rsidR="00D53E9C" w:rsidRPr="00B0126D" w:rsidRDefault="00D53E9C" w:rsidP="00045C15">
            <w:pPr>
              <w:pStyle w:val="Paragrafoelenco"/>
              <w:numPr>
                <w:ilvl w:val="0"/>
                <w:numId w:val="9"/>
              </w:num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il riaccertamento ordinario (articolo 3, comma 5 del d</w:t>
            </w:r>
            <w:r w:rsidR="00045C15" w:rsidRPr="00B0126D">
              <w:rPr>
                <w:rFonts w:ascii="Bookman Old Style" w:eastAsia="Times New Roman" w:hAnsi="Bookman Old Style" w:cs="Arial"/>
                <w:i/>
                <w:shd w:val="clear" w:color="auto" w:fill="FFFFFF"/>
                <w:lang w:eastAsia="it-IT"/>
              </w:rPr>
              <w:t>.</w:t>
            </w:r>
            <w:r w:rsidRPr="00B0126D">
              <w:rPr>
                <w:rFonts w:ascii="Bookman Old Style" w:eastAsia="Times New Roman" w:hAnsi="Bookman Old Style" w:cs="Arial"/>
                <w:i/>
                <w:shd w:val="clear" w:color="auto" w:fill="FFFFFF"/>
                <w:lang w:eastAsia="it-IT"/>
              </w:rPr>
              <w:t>lgs</w:t>
            </w:r>
            <w:r w:rsidR="00045C15" w:rsidRPr="00B0126D">
              <w:rPr>
                <w:rFonts w:ascii="Bookman Old Style" w:eastAsia="Times New Roman" w:hAnsi="Bookman Old Style" w:cs="Arial"/>
                <w:i/>
                <w:shd w:val="clear" w:color="auto" w:fill="FFFFFF"/>
                <w:lang w:eastAsia="it-IT"/>
              </w:rPr>
              <w:t>.</w:t>
            </w:r>
            <w:r w:rsidRPr="00B0126D">
              <w:rPr>
                <w:rFonts w:ascii="Bookman Old Style" w:eastAsia="Times New Roman" w:hAnsi="Bookman Old Style" w:cs="Arial"/>
                <w:i/>
                <w:shd w:val="clear" w:color="auto" w:fill="FFFFFF"/>
                <w:lang w:eastAsia="it-IT"/>
              </w:rPr>
              <w:t xml:space="preserve"> 118) approvato dalla Giunta;</w:t>
            </w:r>
          </w:p>
          <w:p w:rsidR="00D53E9C" w:rsidRPr="00B0126D" w:rsidRDefault="00D53E9C" w:rsidP="00045C15">
            <w:pPr>
              <w:pStyle w:val="Paragrafoelenco"/>
              <w:numPr>
                <w:ilvl w:val="0"/>
                <w:numId w:val="9"/>
              </w:num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le variazioni fra gli stanziamenti riguardanti il FPV da debito e gli stanziamenti correlati effettuati dai dirigenti;</w:t>
            </w:r>
          </w:p>
          <w:p w:rsidR="00D53E9C" w:rsidRPr="00B0126D" w:rsidRDefault="00D53E9C" w:rsidP="00045C15">
            <w:pPr>
              <w:pStyle w:val="Paragrafoelenco"/>
              <w:numPr>
                <w:ilvl w:val="0"/>
                <w:numId w:val="9"/>
              </w:numPr>
              <w:jc w:val="both"/>
              <w:rPr>
                <w:rFonts w:ascii="Bookman Old Style" w:eastAsia="Times New Roman" w:hAnsi="Bookman Old Style" w:cs="Arial"/>
                <w:i/>
                <w:shd w:val="clear" w:color="auto" w:fill="FFFFFF"/>
                <w:lang w:eastAsia="it-IT"/>
              </w:rPr>
            </w:pPr>
            <w:r w:rsidRPr="00B0126D">
              <w:rPr>
                <w:rFonts w:ascii="Bookman Old Style" w:eastAsia="Times New Roman" w:hAnsi="Bookman Old Style" w:cs="Arial"/>
                <w:i/>
                <w:shd w:val="clear" w:color="auto" w:fill="FFFFFF"/>
                <w:lang w:eastAsia="it-IT"/>
              </w:rPr>
              <w:t>le variazioni tra gli stanziamenti riferiti a operazioni di indebitamento già autorizzate e perfezionate, contabilizzate secondo l'andamento della correlata spesa.</w:t>
            </w:r>
          </w:p>
          <w:p w:rsidR="00D53E9C" w:rsidRPr="00B0126D" w:rsidRDefault="00D53E9C" w:rsidP="00D53E9C">
            <w:pPr>
              <w:jc w:val="both"/>
              <w:rPr>
                <w:rFonts w:ascii="Bookman Old Style" w:eastAsia="Times New Roman" w:hAnsi="Bookman Old Style" w:cs="Arial"/>
                <w:i/>
                <w:shd w:val="clear" w:color="auto" w:fill="FFFFFF"/>
                <w:lang w:eastAsia="it-IT"/>
              </w:rPr>
            </w:pPr>
          </w:p>
        </w:tc>
      </w:tr>
      <w:tr w:rsidR="00D53E9C" w:rsidTr="006E24E5">
        <w:tc>
          <w:tcPr>
            <w:tcW w:w="7213" w:type="dxa"/>
            <w:gridSpan w:val="3"/>
          </w:tcPr>
          <w:p w:rsidR="00D53E9C" w:rsidRPr="00E847D3" w:rsidRDefault="00DB08D6" w:rsidP="00DB08D6">
            <w:pPr>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lastRenderedPageBreak/>
              <w:t>469</w:t>
            </w:r>
            <w:r w:rsidR="00D53E9C" w:rsidRPr="00E847D3">
              <w:rPr>
                <w:rFonts w:ascii="Bookman Old Style" w:eastAsia="Times New Roman" w:hAnsi="Bookman Old Style" w:cs="Arial"/>
                <w:lang w:eastAsia="it-IT"/>
              </w:rPr>
              <w:t xml:space="preserve">. Per il monitoraggio degli adempimenti relativi </w:t>
            </w:r>
            <w:r>
              <w:rPr>
                <w:rFonts w:ascii="Bookman Old Style" w:eastAsia="Times New Roman" w:hAnsi="Bookman Old Style" w:cs="Arial"/>
                <w:lang w:eastAsia="it-IT"/>
              </w:rPr>
              <w:t>a quanto disposto dai commi da 463</w:t>
            </w:r>
            <w:r w:rsidR="00D53E9C" w:rsidRPr="00E847D3">
              <w:rPr>
                <w:rFonts w:ascii="Bookman Old Style" w:eastAsia="Times New Roman" w:hAnsi="Bookman Old Style" w:cs="Arial"/>
                <w:lang w:eastAsia="it-IT"/>
              </w:rPr>
              <w:t xml:space="preserve"> a </w:t>
            </w:r>
            <w:r>
              <w:rPr>
                <w:rFonts w:ascii="Bookman Old Style" w:eastAsia="Times New Roman" w:hAnsi="Bookman Old Style" w:cs="Arial"/>
                <w:lang w:eastAsia="it-IT"/>
              </w:rPr>
              <w:t>484</w:t>
            </w:r>
            <w:r w:rsidR="00D53E9C" w:rsidRPr="00E847D3">
              <w:rPr>
                <w:rFonts w:ascii="Bookman Old Style" w:eastAsia="Times New Roman" w:hAnsi="Bookman Old Style" w:cs="Arial"/>
                <w:lang w:eastAsia="it-IT"/>
              </w:rPr>
              <w:t xml:space="preserve"> e per l'acquisizione di elementi informativi utili per la finanza pubb</w:t>
            </w:r>
            <w:r>
              <w:rPr>
                <w:rFonts w:ascii="Bookman Old Style" w:eastAsia="Times New Roman" w:hAnsi="Bookman Old Style" w:cs="Arial"/>
                <w:lang w:eastAsia="it-IT"/>
              </w:rPr>
              <w:t>lica, gli enti di cui al comma 466</w:t>
            </w:r>
            <w:r w:rsidR="00D53E9C" w:rsidRPr="00E847D3">
              <w:rPr>
                <w:rFonts w:ascii="Bookman Old Style" w:eastAsia="Times New Roman" w:hAnsi="Bookman Old Style" w:cs="Arial"/>
                <w:lang w:eastAsia="it-IT"/>
              </w:rPr>
              <w:t xml:space="preserve"> trasmettono al Ministero dell'economia e delle finanze – Dipartimento della Ragioneria generale dello Stato le informazioni riguardanti le risultanze del saldo di cui al comma 4, con tempi e modalità definiti con decreti del predetto Ministero sentite, rispettivamente, la Conferenza Stato-città ed autonomie locali e la Conferenza permanente per i rapporti tra lo Stato, le regioni e le province a</w:t>
            </w:r>
            <w:r w:rsidR="00D53E9C">
              <w:rPr>
                <w:rFonts w:ascii="Bookman Old Style" w:eastAsia="Times New Roman" w:hAnsi="Bookman Old Style" w:cs="Arial"/>
                <w:lang w:eastAsia="it-IT"/>
              </w:rPr>
              <w:t>utonome di Trento e di Bolzano.</w:t>
            </w:r>
          </w:p>
        </w:tc>
        <w:tc>
          <w:tcPr>
            <w:tcW w:w="7214" w:type="dxa"/>
            <w:gridSpan w:val="2"/>
          </w:tcPr>
          <w:p w:rsidR="00D53E9C" w:rsidRPr="00B0126D" w:rsidRDefault="00DB08D6" w:rsidP="00D53E9C">
            <w:pPr>
              <w:jc w:val="both"/>
              <w:rPr>
                <w:rFonts w:ascii="Bookman Old Style" w:hAnsi="Bookman Old Style"/>
                <w:i/>
                <w:color w:val="000000"/>
              </w:rPr>
            </w:pPr>
            <w:r>
              <w:rPr>
                <w:rFonts w:ascii="Bookman Old Style" w:hAnsi="Bookman Old Style"/>
                <w:i/>
                <w:color w:val="000000"/>
              </w:rPr>
              <w:t xml:space="preserve">Il </w:t>
            </w:r>
            <w:r w:rsidRPr="00DB08D6">
              <w:rPr>
                <w:rFonts w:ascii="Bookman Old Style" w:hAnsi="Bookman Old Style"/>
                <w:b/>
                <w:i/>
                <w:color w:val="000000"/>
              </w:rPr>
              <w:t>comma 469</w:t>
            </w:r>
            <w:r w:rsidR="00D53E9C" w:rsidRPr="00B0126D">
              <w:rPr>
                <w:rFonts w:ascii="Bookman Old Style" w:hAnsi="Bookman Old Style"/>
                <w:i/>
                <w:color w:val="000000"/>
              </w:rPr>
              <w:t xml:space="preserve"> dispone che gli enti sottoposti ai vincoli di finanza pubblica devono trasmettere alla Ragioneria generale dello Stato le informazioni relative al monitoraggio del saldo di competenza, nonché le ulteriori informazioni utili per la finanza pubblica, </w:t>
            </w:r>
            <w:r w:rsidR="00D53E9C" w:rsidRPr="00B0126D">
              <w:rPr>
                <w:rFonts w:ascii="Bookman Old Style" w:eastAsia="Times New Roman" w:hAnsi="Bookman Old Style" w:cs="Arial"/>
                <w:i/>
                <w:lang w:eastAsia="it-IT"/>
              </w:rPr>
              <w:t>con tempi e modalità definiti con decreti del Ministero dell’economia e delle finanze.</w:t>
            </w:r>
          </w:p>
        </w:tc>
      </w:tr>
      <w:tr w:rsidR="00D53E9C" w:rsidTr="006E24E5">
        <w:tc>
          <w:tcPr>
            <w:tcW w:w="7213" w:type="dxa"/>
            <w:gridSpan w:val="3"/>
          </w:tcPr>
          <w:p w:rsidR="00D53E9C" w:rsidRPr="00E847D3" w:rsidRDefault="00DB08D6" w:rsidP="00A52622">
            <w:pPr>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t>470</w:t>
            </w:r>
            <w:r w:rsidR="00D53E9C" w:rsidRPr="00E847D3">
              <w:rPr>
                <w:rFonts w:ascii="Bookman Old Style" w:eastAsia="Times New Roman" w:hAnsi="Bookman Old Style" w:cs="Arial"/>
                <w:lang w:eastAsia="it-IT"/>
              </w:rPr>
              <w:t>. Ai fini della verifica del rispetto dell'obiettivo di saldo, ciascun ente è tenuto a inviare, utilizzando il sistema</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web</w:t>
            </w:r>
            <w:r w:rsidR="00D53E9C" w:rsidRPr="00E847D3">
              <w:rPr>
                <w:rFonts w:ascii="Bookman Old Style" w:eastAsia="Times New Roman" w:hAnsi="Bookman Old Style" w:cs="Arial"/>
                <w:lang w:eastAsia="it-IT"/>
              </w:rPr>
              <w:t>, a</w:t>
            </w:r>
            <w:r w:rsidR="00A52622">
              <w:rPr>
                <w:rFonts w:ascii="Bookman Old Style" w:eastAsia="Times New Roman" w:hAnsi="Bookman Old Style" w:cs="Arial"/>
                <w:lang w:eastAsia="it-IT"/>
              </w:rPr>
              <w:t>ppositamente previsto (</w:t>
            </w:r>
            <w:hyperlink r:id="rId74" w:history="1">
              <w:r w:rsidR="00A52622" w:rsidRPr="00AB6414">
                <w:rPr>
                  <w:rStyle w:val="Collegamentoipertestuale"/>
                  <w:rFonts w:ascii="Bookman Old Style" w:eastAsia="Times New Roman" w:hAnsi="Bookman Old Style" w:cs="Arial"/>
                  <w:lang w:eastAsia="it-IT"/>
                </w:rPr>
                <w:t>http://pareggiobilancio.mef.gov.it</w:t>
              </w:r>
            </w:hyperlink>
            <w:r w:rsidR="00A52622">
              <w:rPr>
                <w:rFonts w:ascii="Bookman Old Style" w:eastAsia="Times New Roman" w:hAnsi="Bookman Old Style" w:cs="Arial"/>
                <w:lang w:eastAsia="it-IT"/>
              </w:rPr>
              <w:t xml:space="preserve">) </w:t>
            </w:r>
            <w:r w:rsidR="00D53E9C" w:rsidRPr="00E847D3">
              <w:rPr>
                <w:rFonts w:ascii="Bookman Old Style" w:eastAsia="Times New Roman" w:hAnsi="Bookman Old Style" w:cs="Arial"/>
                <w:lang w:eastAsia="it-IT"/>
              </w:rPr>
              <w:t xml:space="preserve">entro </w:t>
            </w:r>
            <w:r w:rsidR="00D53E9C" w:rsidRPr="00E847D3">
              <w:rPr>
                <w:rFonts w:ascii="Bookman Old Style" w:eastAsia="Times New Roman" w:hAnsi="Bookman Old Style" w:cs="Arial"/>
                <w:lang w:eastAsia="it-IT"/>
              </w:rPr>
              <w:lastRenderedPageBreak/>
              <w:t>il termine perentorio del 31 marzo dell'anno successivo a quello di riferimento, al Ministero dell'economia e delle finanze – Dipartimento della Ragioneria generale dello Stato una certificazione dei risultati conseguiti, firmata digitalmente, ai sensi dell'articolo 24 del codice dell'amministrazione digitale di cui al</w:t>
            </w:r>
            <w:r w:rsidR="00D53E9C" w:rsidRPr="00CF63B8">
              <w:rPr>
                <w:rFonts w:ascii="Bookman Old Style" w:eastAsia="Times New Roman" w:hAnsi="Bookman Old Style" w:cs="Arial"/>
                <w:lang w:eastAsia="it-IT"/>
              </w:rPr>
              <w:t> </w:t>
            </w:r>
            <w:hyperlink r:id="rId75" w:tgtFrame="rifNormativi" w:history="1">
              <w:r w:rsidR="00D53E9C" w:rsidRPr="00CF63B8">
                <w:rPr>
                  <w:rFonts w:ascii="Bookman Old Style" w:eastAsia="Times New Roman" w:hAnsi="Bookman Old Style" w:cs="Arial"/>
                  <w:lang w:eastAsia="it-IT"/>
                </w:rPr>
                <w:t>decreto legislativo 7 marzo 2005, n. 82</w:t>
              </w:r>
            </w:hyperlink>
            <w:r w:rsidR="00D53E9C" w:rsidRPr="00E847D3">
              <w:rPr>
                <w:rFonts w:ascii="Bookman Old Style" w:eastAsia="Times New Roman" w:hAnsi="Bookman Old Style" w:cs="Arial"/>
                <w:lang w:eastAsia="it-IT"/>
              </w:rPr>
              <w:t>, dal rappresentante legale, dal responsabile del servizio finanziario e dall'organo di revisione economico-finanziaria, ove previsto, secondo un prospetto e con le modalità defini</w:t>
            </w:r>
            <w:r>
              <w:rPr>
                <w:rFonts w:ascii="Bookman Old Style" w:eastAsia="Times New Roman" w:hAnsi="Bookman Old Style" w:cs="Arial"/>
                <w:lang w:eastAsia="it-IT"/>
              </w:rPr>
              <w:t>ti dai decreti di cui al comma 469</w:t>
            </w:r>
            <w:r w:rsidR="00D53E9C" w:rsidRPr="00E847D3">
              <w:rPr>
                <w:rFonts w:ascii="Bookman Old Style" w:eastAsia="Times New Roman" w:hAnsi="Bookman Old Style" w:cs="Arial"/>
                <w:lang w:eastAsia="it-IT"/>
              </w:rPr>
              <w:t>. La trasmissione per via telematica della certificazione ha valore giuridico ai sensi dell'articolo 45, comma 1, del medesimo codice di cui al</w:t>
            </w:r>
            <w:r w:rsidR="00D53E9C" w:rsidRPr="00CF63B8">
              <w:rPr>
                <w:rFonts w:ascii="Bookman Old Style" w:eastAsia="Times New Roman" w:hAnsi="Bookman Old Style" w:cs="Arial"/>
                <w:lang w:eastAsia="it-IT"/>
              </w:rPr>
              <w:t> </w:t>
            </w:r>
            <w:hyperlink r:id="rId76" w:tgtFrame="rifNormativi" w:history="1">
              <w:r w:rsidR="00D53E9C" w:rsidRPr="00CF63B8">
                <w:rPr>
                  <w:rFonts w:ascii="Bookman Old Style" w:eastAsia="Times New Roman" w:hAnsi="Bookman Old Style" w:cs="Arial"/>
                  <w:lang w:eastAsia="it-IT"/>
                </w:rPr>
                <w:t>decreto legislativo n. 82 del 2005</w:t>
              </w:r>
            </w:hyperlink>
            <w:r w:rsidR="00D53E9C" w:rsidRPr="00E847D3">
              <w:rPr>
                <w:rFonts w:ascii="Bookman Old Style" w:eastAsia="Times New Roman" w:hAnsi="Bookman Old Style" w:cs="Arial"/>
                <w:lang w:eastAsia="it-IT"/>
              </w:rPr>
              <w:t>. La mancata trasmissione della certificazione entro il termine perentorio del 31 marzo costituisce inadempimento all'obbligo del pareggio di bilancio. Nel caso in cui la certificazione, sebbene in ritardo, sia trasmessa entro il successivo 30 aprile e attesti il conseguimento dell'obiettivo</w:t>
            </w:r>
            <w:r w:rsidR="00AA6F77">
              <w:rPr>
                <w:rFonts w:ascii="Bookman Old Style" w:eastAsia="Times New Roman" w:hAnsi="Bookman Old Style" w:cs="Arial"/>
                <w:lang w:eastAsia="it-IT"/>
              </w:rPr>
              <w:t xml:space="preserve"> </w:t>
            </w:r>
            <w:r w:rsidR="00D53E9C" w:rsidRPr="00E847D3">
              <w:rPr>
                <w:rFonts w:ascii="Bookman Old Style" w:eastAsia="Times New Roman" w:hAnsi="Bookman Old Style" w:cs="Arial"/>
                <w:shd w:val="clear" w:color="auto" w:fill="FFFFFF"/>
                <w:lang w:eastAsia="it-IT"/>
              </w:rPr>
              <w:t>di saldo di cui al comma 4</w:t>
            </w:r>
            <w:r>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si applicano, nei dodici mesi successivi al ritardato invio, le sole</w:t>
            </w:r>
            <w:r>
              <w:rPr>
                <w:rFonts w:ascii="Bookman Old Style" w:eastAsia="Times New Roman" w:hAnsi="Bookman Old Style" w:cs="Arial"/>
                <w:shd w:val="clear" w:color="auto" w:fill="FFFFFF"/>
                <w:lang w:eastAsia="it-IT"/>
              </w:rPr>
              <w:t xml:space="preserve"> disposizioni di cui al comma 475</w:t>
            </w:r>
            <w:r w:rsidR="00D53E9C" w:rsidRPr="00E847D3">
              <w:rPr>
                <w:rFonts w:ascii="Bookman Old Style" w:eastAsia="Times New Roman" w:hAnsi="Bookman Old Style" w:cs="Arial"/>
                <w:shd w:val="clear" w:color="auto" w:fill="FFFFFF"/>
                <w:lang w:eastAsia="it-IT"/>
              </w:rPr>
              <w:t>, lettera</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e)</w:t>
            </w:r>
            <w:r w:rsidR="00D53E9C" w:rsidRPr="00E847D3">
              <w:rPr>
                <w:rFonts w:ascii="Bookman Old Style" w:eastAsia="Times New Roman" w:hAnsi="Bookman Old Style" w:cs="Arial"/>
                <w:shd w:val="clear" w:color="auto" w:fill="FFFFFF"/>
                <w:lang w:eastAsia="it-IT"/>
              </w:rPr>
              <w:t>, limitatamente alle assunzioni di personale a tempo indeterminato</w:t>
            </w:r>
            <w:r w:rsidR="00D53E9C">
              <w:rPr>
                <w:rFonts w:ascii="Bookman Old Style" w:eastAsia="Times New Roman" w:hAnsi="Bookman Old Style" w:cs="Arial"/>
                <w:shd w:val="clear" w:color="auto" w:fill="FFFFFF"/>
                <w:lang w:eastAsia="it-IT"/>
              </w:rPr>
              <w:t>.</w:t>
            </w:r>
          </w:p>
        </w:tc>
        <w:tc>
          <w:tcPr>
            <w:tcW w:w="7214" w:type="dxa"/>
            <w:gridSpan w:val="2"/>
          </w:tcPr>
          <w:p w:rsidR="00D53E9C" w:rsidRPr="00B0126D" w:rsidRDefault="00DB08D6" w:rsidP="00D53E9C">
            <w:pPr>
              <w:jc w:val="both"/>
              <w:rPr>
                <w:rFonts w:ascii="Bookman Old Style" w:eastAsia="Times New Roman" w:hAnsi="Bookman Old Style" w:cs="Arial"/>
                <w:i/>
                <w:lang w:eastAsia="it-IT"/>
              </w:rPr>
            </w:pPr>
            <w:r>
              <w:rPr>
                <w:rFonts w:ascii="Bookman Old Style" w:hAnsi="Bookman Old Style"/>
                <w:i/>
                <w:color w:val="000000"/>
              </w:rPr>
              <w:lastRenderedPageBreak/>
              <w:t xml:space="preserve">Il </w:t>
            </w:r>
            <w:r w:rsidRPr="00DB08D6">
              <w:rPr>
                <w:rFonts w:ascii="Bookman Old Style" w:hAnsi="Bookman Old Style"/>
                <w:b/>
                <w:i/>
                <w:color w:val="000000"/>
              </w:rPr>
              <w:t>comma 470</w:t>
            </w:r>
            <w:r w:rsidR="00D53E9C" w:rsidRPr="00B0126D">
              <w:rPr>
                <w:rFonts w:ascii="Bookman Old Style" w:hAnsi="Bookman Old Style"/>
                <w:i/>
                <w:color w:val="000000"/>
              </w:rPr>
              <w:t>, invece, stabilisce le modalità e</w:t>
            </w:r>
            <w:r w:rsidR="00D53E9C" w:rsidRPr="00B0126D">
              <w:rPr>
                <w:rFonts w:ascii="Bookman Old Style" w:eastAsia="Times New Roman" w:hAnsi="Bookman Old Style" w:cs="Arial"/>
                <w:i/>
                <w:lang w:eastAsia="it-IT"/>
              </w:rPr>
              <w:t xml:space="preserve"> il termine utile (31 marzo dell'anno successivo)</w:t>
            </w:r>
            <w:r w:rsidR="00D53E9C" w:rsidRPr="00B0126D">
              <w:rPr>
                <w:rFonts w:ascii="Bookman Old Style" w:hAnsi="Bookman Old Style"/>
                <w:i/>
                <w:color w:val="000000"/>
              </w:rPr>
              <w:t xml:space="preserve"> per la certificazione del saldo di competenza.</w:t>
            </w:r>
          </w:p>
          <w:p w:rsidR="00D53E9C" w:rsidRPr="00B0126D" w:rsidRDefault="00D53E9C" w:rsidP="00D53E9C">
            <w:pPr>
              <w:jc w:val="both"/>
              <w:rPr>
                <w:rFonts w:ascii="Bookman Old Style" w:eastAsia="Times New Roman" w:hAnsi="Bookman Old Style" w:cs="Arial"/>
                <w:i/>
                <w:lang w:eastAsia="it-IT"/>
              </w:rPr>
            </w:pPr>
            <w:r w:rsidRPr="00B0126D">
              <w:rPr>
                <w:rFonts w:ascii="Bookman Old Style" w:eastAsia="Times New Roman" w:hAnsi="Bookman Old Style" w:cs="Arial"/>
                <w:i/>
                <w:lang w:eastAsia="it-IT"/>
              </w:rPr>
              <w:lastRenderedPageBreak/>
              <w:t>La mancata trasmissione di tale certificazione entro il termine stabilito costituisce inadempimento dell’obbligo del pareggio di bilancio e come tale viene sanzionato. Tuttavia il comma, sulla base di quanto già previsto nel 2016 dal dl</w:t>
            </w:r>
            <w:r w:rsidR="00045C15" w:rsidRPr="00B0126D">
              <w:rPr>
                <w:rFonts w:ascii="Bookman Old Style" w:eastAsia="Times New Roman" w:hAnsi="Bookman Old Style" w:cs="Arial"/>
                <w:i/>
                <w:lang w:eastAsia="it-IT"/>
              </w:rPr>
              <w:t xml:space="preserve"> n. </w:t>
            </w:r>
            <w:r w:rsidRPr="00B0126D">
              <w:rPr>
                <w:rFonts w:ascii="Bookman Old Style" w:eastAsia="Times New Roman" w:hAnsi="Bookman Old Style" w:cs="Arial"/>
                <w:i/>
                <w:lang w:eastAsia="it-IT"/>
              </w:rPr>
              <w:t xml:space="preserve">113/2016, prevede un’attenuazione delle sanzioni nel caso in cui la certificazione sia trasmessa entro il 30 aprile ed attesti il conseguimento del saldo. In questo caso, nei 12 mesi successivi all’invio, si applica la sola sanzione relativa al divieto di assunzione del personale a tempo indeterminato. </w:t>
            </w:r>
          </w:p>
          <w:p w:rsidR="00D53E9C" w:rsidRPr="00B0126D" w:rsidRDefault="00D53E9C" w:rsidP="00D53E9C">
            <w:pPr>
              <w:jc w:val="both"/>
              <w:rPr>
                <w:rFonts w:ascii="Bookman Old Style" w:hAnsi="Bookman Old Style"/>
                <w:i/>
              </w:rPr>
            </w:pPr>
          </w:p>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5358D3" w:rsidRDefault="00DB08D6"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471</w:t>
            </w:r>
            <w:r w:rsidR="00D53E9C" w:rsidRPr="00E847D3">
              <w:rPr>
                <w:rFonts w:ascii="Bookman Old Style" w:eastAsia="Times New Roman" w:hAnsi="Bookman Old Style" w:cs="Arial"/>
                <w:shd w:val="clear" w:color="auto" w:fill="FFFFFF"/>
                <w:lang w:eastAsia="it-IT"/>
              </w:rPr>
              <w:t>. Decorsi trenta giorni dal termine stabilito per l'approvazione del rendiconto di gestione, in caso di mancata trasmissione da parte dell'ente locale della certificazione, il presidente dell'organo di revisione economico-finanziaria nel caso di organo collegiale ovvero l'unico revisore nel caso di organo monocratico, in qualità di commissario</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ad acta</w:t>
            </w:r>
            <w:r w:rsidR="00D53E9C" w:rsidRPr="00E847D3">
              <w:rPr>
                <w:rFonts w:ascii="Bookman Old Style" w:eastAsia="Times New Roman" w:hAnsi="Bookman Old Style" w:cs="Arial"/>
                <w:shd w:val="clear" w:color="auto" w:fill="FFFFFF"/>
                <w:lang w:eastAsia="it-IT"/>
              </w:rPr>
              <w:t>, provvede, pena la decadenza dal ruolo di revisore, ad assicurare l'assolvimento dell'adempimento e a trasmettere la predetta certificazione entro i successivi trenta giorni. Nel caso in cui la certificazione sia trasmessa dal commissario</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ad acta</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entro sessanta giorni dal termine stabilito per l'approvazione del rendiconto di gestione e attesti il conseguimento dell'obiettivo di saldo di cui al comma 4</w:t>
            </w:r>
            <w:r>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si applicano le sole</w:t>
            </w:r>
            <w:r>
              <w:rPr>
                <w:rFonts w:ascii="Bookman Old Style" w:eastAsia="Times New Roman" w:hAnsi="Bookman Old Style" w:cs="Arial"/>
                <w:shd w:val="clear" w:color="auto" w:fill="FFFFFF"/>
                <w:lang w:eastAsia="it-IT"/>
              </w:rPr>
              <w:t xml:space="preserve"> disposizioni di cui al comma 475</w:t>
            </w:r>
            <w:r w:rsidR="00D53E9C" w:rsidRPr="00E847D3">
              <w:rPr>
                <w:rFonts w:ascii="Bookman Old Style" w:eastAsia="Times New Roman" w:hAnsi="Bookman Old Style" w:cs="Arial"/>
                <w:shd w:val="clear" w:color="auto" w:fill="FFFFFF"/>
                <w:lang w:eastAsia="it-IT"/>
              </w:rPr>
              <w:t>, lettere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e)</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f)</w:t>
            </w:r>
            <w:r w:rsidR="00D53E9C" w:rsidRPr="00E847D3">
              <w:rPr>
                <w:rFonts w:ascii="Bookman Old Style" w:eastAsia="Times New Roman" w:hAnsi="Bookman Old Style" w:cs="Arial"/>
                <w:shd w:val="clear" w:color="auto" w:fill="FFFFFF"/>
                <w:lang w:eastAsia="it-IT"/>
              </w:rPr>
              <w:t>, tenendo conto della</w:t>
            </w:r>
            <w:r>
              <w:rPr>
                <w:rFonts w:ascii="Bookman Old Style" w:eastAsia="Times New Roman" w:hAnsi="Bookman Old Style" w:cs="Arial"/>
                <w:shd w:val="clear" w:color="auto" w:fill="FFFFFF"/>
                <w:lang w:eastAsia="it-IT"/>
              </w:rPr>
              <w:t xml:space="preserve"> gradualità prevista al comma 476</w:t>
            </w:r>
            <w:r w:rsidR="00D53E9C" w:rsidRPr="00E847D3">
              <w:rPr>
                <w:rFonts w:ascii="Bookman Old Style" w:eastAsia="Times New Roman" w:hAnsi="Bookman Old Style" w:cs="Arial"/>
                <w:shd w:val="clear" w:color="auto" w:fill="FFFFFF"/>
                <w:lang w:eastAsia="it-IT"/>
              </w:rPr>
              <w:t xml:space="preserve">. Sino alla data di trasmissione da parte </w:t>
            </w:r>
            <w:r w:rsidR="00D53E9C" w:rsidRPr="00E847D3">
              <w:rPr>
                <w:rFonts w:ascii="Bookman Old Style" w:eastAsia="Times New Roman" w:hAnsi="Bookman Old Style" w:cs="Arial"/>
                <w:shd w:val="clear" w:color="auto" w:fill="FFFFFF"/>
                <w:lang w:eastAsia="it-IT"/>
              </w:rPr>
              <w:lastRenderedPageBreak/>
              <w:t>del commissario</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ad acta</w:t>
            </w:r>
            <w:r w:rsidR="00D53E9C" w:rsidRPr="00E847D3">
              <w:rPr>
                <w:rFonts w:ascii="Bookman Old Style" w:eastAsia="Times New Roman" w:hAnsi="Bookman Old Style" w:cs="Arial"/>
                <w:shd w:val="clear" w:color="auto" w:fill="FFFFFF"/>
                <w:lang w:eastAsia="it-IT"/>
              </w:rPr>
              <w:t>, le erogazioni di risorse o trasferimenti da parte del Ministero dell'interno relative all'anno successivo a quello di riferimento sono sospese e, a tal fine, il Ministero dell'economia e delle finanze – Dipartimento della Ragioneria generale dello Stato provvede a trasmettere apposita comunicazione al predetto Ministero.</w:t>
            </w:r>
            <w:r w:rsidR="00D53E9C" w:rsidRPr="00CF63B8">
              <w:rPr>
                <w:rFonts w:ascii="Bookman Old Style" w:eastAsia="Times New Roman" w:hAnsi="Bookman Old Style" w:cs="Arial"/>
                <w:lang w:eastAsia="it-IT"/>
              </w:rPr>
              <w:t> </w:t>
            </w:r>
          </w:p>
        </w:tc>
        <w:tc>
          <w:tcPr>
            <w:tcW w:w="7214" w:type="dxa"/>
            <w:gridSpan w:val="2"/>
          </w:tcPr>
          <w:p w:rsidR="007C5EF9" w:rsidRPr="00B0126D" w:rsidRDefault="00D53E9C" w:rsidP="00D53E9C">
            <w:pPr>
              <w:spacing w:after="120"/>
              <w:jc w:val="both"/>
              <w:rPr>
                <w:rFonts w:ascii="Bookman Old Style" w:hAnsi="Bookman Old Style"/>
                <w:i/>
              </w:rPr>
            </w:pPr>
            <w:r w:rsidRPr="00B0126D">
              <w:rPr>
                <w:rFonts w:ascii="Bookman Old Style" w:hAnsi="Bookman Old Style"/>
                <w:i/>
              </w:rPr>
              <w:lastRenderedPageBreak/>
              <w:t>Ricalcando la normativa della leg</w:t>
            </w:r>
            <w:r w:rsidR="00DB08D6">
              <w:rPr>
                <w:rFonts w:ascii="Bookman Old Style" w:hAnsi="Bookman Old Style"/>
                <w:i/>
              </w:rPr>
              <w:t xml:space="preserve">ge di stabilità 2016, il </w:t>
            </w:r>
            <w:r w:rsidR="00DB08D6" w:rsidRPr="00DB08D6">
              <w:rPr>
                <w:rFonts w:ascii="Bookman Old Style" w:hAnsi="Bookman Old Style"/>
                <w:b/>
                <w:i/>
              </w:rPr>
              <w:t>comma 471</w:t>
            </w:r>
            <w:r w:rsidR="00B13147">
              <w:rPr>
                <w:rFonts w:ascii="Bookman Old Style" w:hAnsi="Bookman Old Style"/>
                <w:b/>
                <w:i/>
              </w:rPr>
              <w:t xml:space="preserve"> </w:t>
            </w:r>
            <w:r w:rsidRPr="00B0126D">
              <w:rPr>
                <w:rFonts w:ascii="Bookman Old Style" w:hAnsi="Bookman Old Style"/>
                <w:i/>
              </w:rPr>
              <w:t>stabilisce che nel caso in cui decorsi 30 giorni dal termine per l’approvazione del rendiconto, l’Ente non abbia ancora provveduto all’invio della certificazione, il Presidente dei revisori dei conti, in qualità di commissario ad acta, pena la decadenza dal ruolo di revisore, provvede all’invio della certificazione stessa entro i successivi 30 giorni. L’erogazione delle risorse o trasferimenti erariali da parte del Ministero dell’interno è sospesa fino alla data di trasmissione della documentazione da parte del commissario ad acta. Nel caso in cui il commissario ad acta invii la certificazione entro sessanta giorni</w:t>
            </w:r>
            <w:r w:rsidR="00712400">
              <w:rPr>
                <w:rFonts w:ascii="Bookman Old Style" w:hAnsi="Bookman Old Style"/>
                <w:i/>
              </w:rPr>
              <w:t xml:space="preserve"> </w:t>
            </w:r>
            <w:r w:rsidRPr="00B0126D">
              <w:rPr>
                <w:rFonts w:ascii="Bookman Old Style" w:hAnsi="Bookman Old Style"/>
                <w:i/>
              </w:rPr>
              <w:t xml:space="preserve">dal termine stabilito per l'approvazione del rendiconto di gestione e attesti il conseguimento dell’obiettivo di saldo, si applicano le sanzioni relative al blocco delle assunzioni del personale e alla riduzione del 30% delle indennità di funzione e dei gettoni di presenza </w:t>
            </w:r>
            <w:r w:rsidRPr="00B0126D">
              <w:rPr>
                <w:rFonts w:ascii="Bookman Old Style" w:hAnsi="Bookman Old Style"/>
                <w:i/>
              </w:rPr>
              <w:lastRenderedPageBreak/>
              <w:t xml:space="preserve">(previste al successivo comma 13, lettere e) ed f)). </w:t>
            </w:r>
          </w:p>
          <w:p w:rsidR="00D53E9C" w:rsidRPr="00B0126D" w:rsidRDefault="00D53E9C" w:rsidP="00DB08D6">
            <w:pPr>
              <w:spacing w:after="120"/>
              <w:jc w:val="both"/>
              <w:rPr>
                <w:rFonts w:ascii="Bookman Old Style" w:hAnsi="Bookman Old Style"/>
                <w:i/>
              </w:rPr>
            </w:pPr>
            <w:r w:rsidRPr="00B0126D">
              <w:rPr>
                <w:rFonts w:ascii="Bookman Old Style" w:hAnsi="Bookman Old Style"/>
                <w:i/>
              </w:rPr>
              <w:t>Anche per queste sanzioni viene previsto il meccanismo della gradualità nell’applicazione prevista dal</w:t>
            </w:r>
            <w:r w:rsidR="007C5EF9" w:rsidRPr="00B0126D">
              <w:rPr>
                <w:rFonts w:ascii="Bookman Old Style" w:hAnsi="Bookman Old Style"/>
                <w:i/>
              </w:rPr>
              <w:t xml:space="preserve"> comma </w:t>
            </w:r>
            <w:r w:rsidR="00DB08D6">
              <w:rPr>
                <w:rFonts w:ascii="Bookman Old Style" w:hAnsi="Bookman Old Style"/>
                <w:i/>
              </w:rPr>
              <w:t>476</w:t>
            </w:r>
            <w:r w:rsidR="007C5EF9" w:rsidRPr="00B0126D">
              <w:rPr>
                <w:rFonts w:ascii="Bookman Old Style" w:hAnsi="Bookman Old Style"/>
                <w:i/>
              </w:rPr>
              <w:t xml:space="preserve"> a decorrere dal 2017.</w:t>
            </w:r>
          </w:p>
        </w:tc>
      </w:tr>
      <w:tr w:rsidR="00D53E9C" w:rsidTr="006E24E5">
        <w:tc>
          <w:tcPr>
            <w:tcW w:w="7213" w:type="dxa"/>
            <w:gridSpan w:val="3"/>
          </w:tcPr>
          <w:p w:rsidR="00D53E9C" w:rsidRPr="005358D3" w:rsidRDefault="00DB08D6"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472</w:t>
            </w:r>
            <w:r w:rsidR="00D53E9C" w:rsidRPr="00E847D3">
              <w:rPr>
                <w:rFonts w:ascii="Bookman Old Style" w:eastAsia="Times New Roman" w:hAnsi="Bookman Old Style" w:cs="Arial"/>
                <w:shd w:val="clear" w:color="auto" w:fill="FFFFFF"/>
                <w:lang w:eastAsia="it-IT"/>
              </w:rPr>
              <w:t>. Decorsi trenta giorni dal termine stabilito per l'approvazione del rendiconto di gestione, in caso di mancata trasmissione da parte delle regioni e delle province autonome della certificazione si procede al blocco di qualsiasi prelievo dai conti della tesoreria statale sino a quando la certificazione non è acquisita.</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5358D3" w:rsidRDefault="00DB08D6"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473</w:t>
            </w:r>
            <w:r w:rsidR="00D53E9C" w:rsidRPr="00E847D3">
              <w:rPr>
                <w:rFonts w:ascii="Bookman Old Style" w:eastAsia="Times New Roman" w:hAnsi="Bookman Old Style" w:cs="Arial"/>
                <w:shd w:val="clear" w:color="auto" w:fill="FFFFFF"/>
                <w:lang w:eastAsia="it-IT"/>
              </w:rPr>
              <w:t>. I dati contabili rilevanti ai fini del conseguimento del saldo di cui al comma 4</w:t>
            </w:r>
            <w:r>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trasmessi con la certificazione</w:t>
            </w:r>
            <w:r>
              <w:rPr>
                <w:rFonts w:ascii="Bookman Old Style" w:eastAsia="Times New Roman" w:hAnsi="Bookman Old Style" w:cs="Arial"/>
                <w:shd w:val="clear" w:color="auto" w:fill="FFFFFF"/>
                <w:lang w:eastAsia="it-IT"/>
              </w:rPr>
              <w:t xml:space="preserve"> dei risultati di cui al comma 470</w:t>
            </w:r>
            <w:r w:rsidR="00D53E9C" w:rsidRPr="00E847D3">
              <w:rPr>
                <w:rFonts w:ascii="Bookman Old Style" w:eastAsia="Times New Roman" w:hAnsi="Bookman Old Style" w:cs="Arial"/>
                <w:shd w:val="clear" w:color="auto" w:fill="FFFFFF"/>
                <w:lang w:eastAsia="it-IT"/>
              </w:rPr>
              <w:t>, devono corrispondere alle risultanze del rendiconto di gestione. A tal fine, qualora la certificazione trasmessa entro il term</w:t>
            </w:r>
            <w:r>
              <w:rPr>
                <w:rFonts w:ascii="Bookman Old Style" w:eastAsia="Times New Roman" w:hAnsi="Bookman Old Style" w:cs="Arial"/>
                <w:shd w:val="clear" w:color="auto" w:fill="FFFFFF"/>
                <w:lang w:eastAsia="it-IT"/>
              </w:rPr>
              <w:t>ine perentorio di cui al comma 470</w:t>
            </w:r>
            <w:r w:rsidR="00D53E9C" w:rsidRPr="00E847D3">
              <w:rPr>
                <w:rFonts w:ascii="Bookman Old Style" w:eastAsia="Times New Roman" w:hAnsi="Bookman Old Style" w:cs="Arial"/>
                <w:shd w:val="clear" w:color="auto" w:fill="FFFFFF"/>
                <w:lang w:eastAsia="it-IT"/>
              </w:rPr>
              <w:t xml:space="preserve"> sia difforme dalle risultanze del rendiconto</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di gestione, gli enti sono tenuti ad inviare una nuova certificazione, a rettifica della precedente, entro il termine perentorio di sessanta giorni dall'approvazione del rendiconto e, comunque, non oltre il 30 giugno del medesimo anno per gli enti locali e il 30 settembre per le regioni e le province autonome di Trento e di Bolzano.</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I dati contabili rilevanti per il rispetto del saldo di competenza e risultanti dalla certificazione devono essere i medesimi di quelli del rendiconto della gestione. Nel caso di difformità tra i dati tra i due documenti, gli enti devono inviare una nuova certificazione, entro 60 giorni dall’approvazione del rendiconto e comunque non oltre il 30 giugno. </w:t>
            </w:r>
            <w:r w:rsidR="00DB08D6">
              <w:rPr>
                <w:rFonts w:ascii="Bookman Old Style" w:hAnsi="Bookman Old Style"/>
                <w:i/>
                <w:color w:val="000000"/>
              </w:rPr>
              <w:t>(</w:t>
            </w:r>
            <w:r w:rsidR="00DB08D6" w:rsidRPr="00DB08D6">
              <w:rPr>
                <w:rFonts w:ascii="Bookman Old Style" w:hAnsi="Bookman Old Style"/>
                <w:b/>
                <w:i/>
                <w:color w:val="000000"/>
              </w:rPr>
              <w:t>Comma 473</w:t>
            </w:r>
            <w:r w:rsidR="00DB08D6">
              <w:rPr>
                <w:rFonts w:ascii="Bookman Old Style" w:hAnsi="Bookman Old Style"/>
                <w:i/>
                <w:color w:val="000000"/>
              </w:rPr>
              <w:t>)</w:t>
            </w:r>
          </w:p>
        </w:tc>
      </w:tr>
      <w:tr w:rsidR="00D53E9C" w:rsidTr="006E24E5">
        <w:tc>
          <w:tcPr>
            <w:tcW w:w="7213" w:type="dxa"/>
            <w:gridSpan w:val="3"/>
          </w:tcPr>
          <w:p w:rsidR="00D53E9C" w:rsidRPr="00E847D3" w:rsidRDefault="00DB08D6"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474</w:t>
            </w:r>
            <w:r w:rsidR="00D53E9C" w:rsidRPr="00E847D3">
              <w:rPr>
                <w:rFonts w:ascii="Bookman Old Style" w:eastAsia="Times New Roman" w:hAnsi="Bookman Old Style" w:cs="Arial"/>
                <w:shd w:val="clear" w:color="auto" w:fill="FFFFFF"/>
                <w:lang w:eastAsia="it-IT"/>
              </w:rPr>
              <w:t>. Decorsi</w:t>
            </w:r>
            <w:r>
              <w:rPr>
                <w:rFonts w:ascii="Bookman Old Style" w:eastAsia="Times New Roman" w:hAnsi="Bookman Old Style" w:cs="Arial"/>
                <w:shd w:val="clear" w:color="auto" w:fill="FFFFFF"/>
                <w:lang w:eastAsia="it-IT"/>
              </w:rPr>
              <w:t xml:space="preserve"> i termini previsti dal comma 473</w:t>
            </w:r>
            <w:r w:rsidR="00D53E9C" w:rsidRPr="00E847D3">
              <w:rPr>
                <w:rFonts w:ascii="Bookman Old Style" w:eastAsia="Times New Roman" w:hAnsi="Bookman Old Style" w:cs="Arial"/>
                <w:shd w:val="clear" w:color="auto" w:fill="FFFFFF"/>
                <w:lang w:eastAsia="it-IT"/>
              </w:rPr>
              <w:t>, sono comunque tenuti ad inviare una nuova certificazione, a rettifica della precedente, solo gli enti che rilevano, rispetto a quanto già certificato, un peggioramento del proprio posizionamento rispetto all'obiettivo di saldo di cui al comma 4</w:t>
            </w:r>
            <w:r>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B08D6" w:rsidP="00D53E9C">
            <w:pPr>
              <w:jc w:val="both"/>
              <w:rPr>
                <w:rFonts w:ascii="Bookman Old Style" w:hAnsi="Bookman Old Style"/>
                <w:i/>
                <w:color w:val="000000"/>
              </w:rPr>
            </w:pPr>
            <w:r>
              <w:rPr>
                <w:rFonts w:ascii="Bookman Old Style" w:hAnsi="Bookman Old Style"/>
                <w:i/>
                <w:color w:val="000000"/>
              </w:rPr>
              <w:t xml:space="preserve">Ai sensi del </w:t>
            </w:r>
            <w:r w:rsidRPr="00DB08D6">
              <w:rPr>
                <w:rFonts w:ascii="Bookman Old Style" w:hAnsi="Bookman Old Style"/>
                <w:b/>
                <w:i/>
                <w:color w:val="000000"/>
              </w:rPr>
              <w:t>comma 474</w:t>
            </w:r>
            <w:r>
              <w:rPr>
                <w:rFonts w:ascii="Bookman Old Style" w:hAnsi="Bookman Old Style"/>
                <w:i/>
                <w:color w:val="000000"/>
              </w:rPr>
              <w:t xml:space="preserve"> g</w:t>
            </w:r>
            <w:r w:rsidR="00D53E9C" w:rsidRPr="00B0126D">
              <w:rPr>
                <w:rFonts w:ascii="Bookman Old Style" w:hAnsi="Bookman Old Style"/>
                <w:i/>
                <w:color w:val="000000"/>
              </w:rPr>
              <w:t xml:space="preserve">li enti devono inviare una nuova certificazione solo se, decorsi i termini di cui al comma precedente, gli enti rilevano un peggioramento del proprio posizionamento. </w:t>
            </w:r>
          </w:p>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Anci ha più volte chiesto che tale possibilità fosse prevista non solo per i casi di peggioramento, ma anche di miglioramento del proprio posizionamento, in modo da riparametrare le sanzioni previste in capo all’ente, dal momento che le stesse a decorrere dal 2017 saranno correlate ad un criterio di proporzionalità rispetto al risultato conseguito. </w:t>
            </w:r>
          </w:p>
        </w:tc>
      </w:tr>
      <w:tr w:rsidR="00D53E9C" w:rsidTr="006E24E5">
        <w:tc>
          <w:tcPr>
            <w:tcW w:w="7213" w:type="dxa"/>
            <w:gridSpan w:val="3"/>
          </w:tcPr>
          <w:p w:rsidR="00D53E9C" w:rsidRPr="00E847D3" w:rsidRDefault="008A761A" w:rsidP="00D53E9C">
            <w:pPr>
              <w:shd w:val="clear" w:color="auto" w:fill="FFFFFF"/>
              <w:jc w:val="both"/>
              <w:rPr>
                <w:rFonts w:ascii="Bookman Old Style" w:eastAsia="Times New Roman" w:hAnsi="Bookman Old Style" w:cs="Times New Roman"/>
                <w:lang w:eastAsia="it-IT"/>
              </w:rPr>
            </w:pPr>
            <w:r>
              <w:rPr>
                <w:rFonts w:ascii="Bookman Old Style" w:eastAsia="Times New Roman" w:hAnsi="Bookman Old Style" w:cs="Arial"/>
                <w:shd w:val="clear" w:color="auto" w:fill="FFFFFF"/>
                <w:lang w:eastAsia="it-IT"/>
              </w:rPr>
              <w:t>475</w:t>
            </w:r>
            <w:r w:rsidR="00D53E9C" w:rsidRPr="00E847D3">
              <w:rPr>
                <w:rFonts w:ascii="Bookman Old Style" w:eastAsia="Times New Roman" w:hAnsi="Bookman Old Style" w:cs="Arial"/>
                <w:shd w:val="clear" w:color="auto" w:fill="FFFFFF"/>
                <w:lang w:eastAsia="it-IT"/>
              </w:rPr>
              <w:t>. Ai sensi dell'</w:t>
            </w:r>
            <w:hyperlink r:id="rId77" w:anchor="art9-com4" w:tgtFrame="rifNormativi" w:history="1">
              <w:r w:rsidR="00D53E9C" w:rsidRPr="00CF63B8">
                <w:rPr>
                  <w:rFonts w:ascii="Bookman Old Style" w:eastAsia="Times New Roman" w:hAnsi="Bookman Old Style" w:cs="Arial"/>
                  <w:lang w:eastAsia="it-IT"/>
                </w:rPr>
                <w:t>articolo 9, comma 4, della legge 24 dicembre 2012, n. 243</w:t>
              </w:r>
            </w:hyperlink>
            <w:r w:rsidR="00D53E9C" w:rsidRPr="00E847D3">
              <w:rPr>
                <w:rFonts w:ascii="Bookman Old Style" w:eastAsia="Times New Roman" w:hAnsi="Bookman Old Style" w:cs="Arial"/>
                <w:shd w:val="clear" w:color="auto" w:fill="FFFFFF"/>
                <w:lang w:eastAsia="it-IT"/>
              </w:rPr>
              <w:t>, in caso di mancato conseguim</w:t>
            </w:r>
            <w:r>
              <w:rPr>
                <w:rFonts w:ascii="Bookman Old Style" w:eastAsia="Times New Roman" w:hAnsi="Bookman Old Style" w:cs="Arial"/>
                <w:shd w:val="clear" w:color="auto" w:fill="FFFFFF"/>
                <w:lang w:eastAsia="it-IT"/>
              </w:rPr>
              <w:t>ento del saldo di cui al comma 466</w:t>
            </w:r>
            <w:r w:rsidR="00D53E9C" w:rsidRPr="00E847D3">
              <w:rPr>
                <w:rFonts w:ascii="Bookman Old Style" w:eastAsia="Times New Roman" w:hAnsi="Bookman Old Style" w:cs="Arial"/>
                <w:shd w:val="clear" w:color="auto" w:fill="FFFFFF"/>
                <w:lang w:eastAsia="it-IT"/>
              </w:rPr>
              <w:t>:</w:t>
            </w: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p>
          <w:p w:rsidR="008A761A" w:rsidRDefault="008A761A" w:rsidP="00D53E9C">
            <w:pPr>
              <w:shd w:val="clear" w:color="auto" w:fill="FFFFFF"/>
              <w:jc w:val="both"/>
              <w:rPr>
                <w:rFonts w:ascii="Bookman Old Style" w:eastAsia="Times New Roman" w:hAnsi="Bookman Old Style" w:cs="Arial"/>
                <w:lang w:eastAsia="it-IT"/>
              </w:rPr>
            </w:pPr>
          </w:p>
          <w:p w:rsidR="008A761A" w:rsidRDefault="008A761A"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shd w:val="clear" w:color="auto" w:fill="FFFFFF"/>
                <w:lang w:eastAsia="it-IT"/>
              </w:rPr>
            </w:pP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l'ente locale è assoggettato ad una riduzione del fondo sperimentale di riequilibrio o del fondo di solidarietà comunale in misura pari all'importo corrispondente allo scostamento registrato. Le province della Regione siciliana e della regione Sardegna sono assoggettate alla riduzione dei trasferimenti erariali nella misura indicata al primo periodo. Gli enti locali delle regioni Friuli Venezia Giulia e Valle d'Aosta e delle province autonome di Trento e di Bolzano sono assoggettati ad una riduzione dei trasferimenti correnti erogati dalle medesime regioni o province autonome in misura pari all'importo corrispondente allo scostamento registrato. Le riduzioni di cui ai precedenti periodi assicurano il recupero di cui all'</w:t>
            </w:r>
            <w:hyperlink r:id="rId78" w:anchor="art9-com2" w:tgtFrame="rifNormativi" w:history="1">
              <w:r w:rsidRPr="00CF63B8">
                <w:rPr>
                  <w:rFonts w:ascii="Bookman Old Style" w:eastAsia="Times New Roman" w:hAnsi="Bookman Old Style" w:cs="Arial"/>
                  <w:lang w:eastAsia="it-IT"/>
                </w:rPr>
                <w:t>articolo 9, comma 2, della legge 24 dicembre 2012, n. 243</w:t>
              </w:r>
            </w:hyperlink>
            <w:r w:rsidRPr="00E847D3">
              <w:rPr>
                <w:rFonts w:ascii="Bookman Old Style" w:eastAsia="Times New Roman" w:hAnsi="Bookman Old Style" w:cs="Arial"/>
                <w:lang w:eastAsia="it-IT"/>
              </w:rPr>
              <w:t>, e sono applicate nel triennio successivo a quello di inadempienza in quote costanti. In caso di incapienza, per uno o più anni del triennio di riferimento, gli enti locali sono tenuti a versare all'entrata del bilancio dello Stato le somme residue di ciascuna quota annuale, entro l'anno di competenza delle medesime quote, presso la competente sezione di tesoreria provinciale dello Stato, al capo X dell'entrata del bilancio dello Stato, al capitolo 3509, articolo 2. In caso di mancato versamento delle predette somme residue nell'anno successivo, il recupero è operato con le procedure di cui ai commi</w:t>
            </w:r>
            <w:r w:rsidRPr="00E847D3">
              <w:rPr>
                <w:rFonts w:ascii="Bookman Old Style" w:eastAsia="Times New Roman" w:hAnsi="Bookman Old Style" w:cs="Arial"/>
                <w:shd w:val="clear" w:color="auto" w:fill="FFFFFF"/>
                <w:lang w:eastAsia="it-IT"/>
              </w:rPr>
              <w:t>128 e 129 dell'</w:t>
            </w:r>
            <w:hyperlink r:id="rId79" w:anchor="art1" w:tgtFrame="rifNormativi" w:history="1">
              <w:r w:rsidRPr="00CF63B8">
                <w:rPr>
                  <w:rFonts w:ascii="Bookman Old Style" w:eastAsia="Times New Roman" w:hAnsi="Bookman Old Style" w:cs="Arial"/>
                  <w:lang w:eastAsia="it-IT"/>
                </w:rPr>
                <w:t>articolo 1 della legge 24 dicembre 2012, n. 228</w:t>
              </w:r>
            </w:hyperlink>
            <w:r w:rsidRPr="00E847D3">
              <w:rPr>
                <w:rFonts w:ascii="Bookman Old Style" w:eastAsia="Times New Roman" w:hAnsi="Bookman Old Style" w:cs="Arial"/>
                <w:shd w:val="clear" w:color="auto" w:fill="FFFFFF"/>
                <w:lang w:eastAsia="it-IT"/>
              </w:rPr>
              <w:t>;</w:t>
            </w:r>
          </w:p>
          <w:p w:rsidR="00D53E9C" w:rsidRPr="00E847D3" w:rsidRDefault="00D53E9C" w:rsidP="00D53E9C">
            <w:pPr>
              <w:shd w:val="clear" w:color="auto" w:fill="FFFFFF"/>
              <w:jc w:val="both"/>
              <w:rPr>
                <w:rFonts w:ascii="Bookman Old Style" w:eastAsia="Times New Roman" w:hAnsi="Bookman Old Style" w:cs="Times New Roman"/>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nel triennio successivo la regione o la provincia autonoma è tenuta ad effettuare un versamento all'entrata del bilancio dello Stato, di importo corrispondente a un terzo dello scostamento registrato, che assicura il recupero di cui all'</w:t>
            </w:r>
            <w:hyperlink r:id="rId80" w:anchor="art9-com2" w:tgtFrame="rifNormativi" w:history="1">
              <w:r w:rsidRPr="00CF63B8">
                <w:rPr>
                  <w:rFonts w:ascii="Bookman Old Style" w:eastAsia="Times New Roman" w:hAnsi="Bookman Old Style" w:cs="Arial"/>
                  <w:lang w:eastAsia="it-IT"/>
                </w:rPr>
                <w:t>articolo 9, comma 2, della legge 24 dicembre 2012, n. 243</w:t>
              </w:r>
            </w:hyperlink>
            <w:r w:rsidRPr="00E847D3">
              <w:rPr>
                <w:rFonts w:ascii="Bookman Old Style" w:eastAsia="Times New Roman" w:hAnsi="Bookman Old Style" w:cs="Arial"/>
                <w:lang w:eastAsia="it-IT"/>
              </w:rPr>
              <w:t>. Il versamento è effettuato entro il 31 maggio di ciascun anno del triennio successivo a quello di inadempienza. In caso di mancato versamento si procede al recupero di detto scostamento a valere sulle giacenze depositate a qualsiasi titolo nei conti ape</w:t>
            </w:r>
            <w:r>
              <w:rPr>
                <w:rFonts w:ascii="Bookman Old Style" w:eastAsia="Times New Roman" w:hAnsi="Bookman Old Style" w:cs="Arial"/>
                <w:lang w:eastAsia="it-IT"/>
              </w:rPr>
              <w:t xml:space="preserve">rti presso </w:t>
            </w:r>
            <w:r>
              <w:rPr>
                <w:rFonts w:ascii="Bookman Old Style" w:eastAsia="Times New Roman" w:hAnsi="Bookman Old Style" w:cs="Arial"/>
                <w:lang w:eastAsia="it-IT"/>
              </w:rPr>
              <w:lastRenderedPageBreak/>
              <w:t>la tesoreria statale,</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p>
          <w:p w:rsidR="00D53E9C" w:rsidRDefault="00D53E9C" w:rsidP="00D53E9C">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nell'anno successivo a quello di inadempienza l'ente non può impegnare spese correnti, per le regioni al netto delle spese per la sanità, in misura superiore all'importo dei corrispondenti impegni dell'anno precedente ridotti dell'1 per cento. La sanzione si applica con riferimento agli impegni riguardanti le funzioni esercitate in entrambi gli esercizi. A tal fine, l'importo degli impegni correnti dell'anno precedente e quello dell'anno in cui si applica la sanzione sono determinati al netto di quelli connessi a funzioni non esercitate in entrambi gli esercizi, nonché al netto degli impegni relativi ai versamenti al bilancio dello Stato effettuati come contributo alla finanza pubblica;</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nell'anno successivo a quello di inadempienza l'ente non può ricorrere all'indebitamento per gli investimenti. Per le regioni e le province autonome di Trento e di Bolzano, restano esclusi i mutui già autorizzati e non ancora contratti. I mutui e i prestiti obbligazionari posti in essere con istituzioni creditizie o finanziarie per il finanziamento degli investimenti o le aperture di linee di credito devono essere corredati di apposita attestazione da cui risulti il rispetto del saldo di cui al comma 4</w:t>
            </w:r>
            <w:r w:rsidR="008A761A">
              <w:rPr>
                <w:rFonts w:ascii="Bookman Old Style" w:eastAsia="Times New Roman" w:hAnsi="Bookman Old Style" w:cs="Arial"/>
                <w:lang w:eastAsia="it-IT"/>
              </w:rPr>
              <w:t>46</w:t>
            </w:r>
            <w:r w:rsidRPr="00E847D3">
              <w:rPr>
                <w:rFonts w:ascii="Bookman Old Style" w:eastAsia="Times New Roman" w:hAnsi="Bookman Old Style" w:cs="Arial"/>
                <w:lang w:eastAsia="it-IT"/>
              </w:rPr>
              <w:t>. L'istituto finanziatore o l'intermediario finanziario non può procedere al finanziamento o al collocamento del prestito in assenza della predetta attestazione;</w:t>
            </w:r>
          </w:p>
          <w:p w:rsidR="008A761A" w:rsidRPr="00E847D3" w:rsidRDefault="008A761A" w:rsidP="00D53E9C">
            <w:pPr>
              <w:shd w:val="clear" w:color="auto" w:fill="FFFFFF"/>
              <w:jc w:val="both"/>
              <w:rPr>
                <w:rFonts w:ascii="Bookman Old Style" w:eastAsia="Times New Roman" w:hAnsi="Bookman Old Style" w:cs="Arial"/>
                <w:lang w:eastAsia="it-IT"/>
              </w:rPr>
            </w:pPr>
          </w:p>
          <w:p w:rsidR="00D53E9C" w:rsidRPr="00E847D3" w:rsidRDefault="00D53E9C" w:rsidP="00D53E9C">
            <w:pPr>
              <w:shd w:val="clear" w:color="auto" w:fill="FFFFFF"/>
              <w:jc w:val="both"/>
              <w:rPr>
                <w:rFonts w:ascii="Bookman Old Style" w:eastAsia="Times New Roman" w:hAnsi="Bookman Old Style" w:cs="Times New Roman"/>
                <w:lang w:eastAsia="it-IT"/>
              </w:rPr>
            </w:pPr>
            <w:r w:rsidRPr="00CF63B8">
              <w:rPr>
                <w:rFonts w:ascii="Bookman Old Style" w:eastAsia="Times New Roman" w:hAnsi="Bookman Old Style" w:cs="Arial"/>
                <w:i/>
                <w:iCs/>
                <w:lang w:eastAsia="it-IT"/>
              </w:rPr>
              <w:t>e)</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nell'anno successivo a quello di inadempienza l'ente non può procedere ad</w:t>
            </w:r>
            <w:r w:rsidR="00712400">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 xml:space="preserve">assunzioni di personale a qualsiasi titolo, con qualsivoglia tipologia contrattuale, compresi i rapporti di collaborazione coordinata e continuativa e di somministrazione, anche con riferimento ai processi di stabilizzazione in atto. È fatto altresì divieto agli enti di stipulare contratti di servizio con soggetti privati che si configurino come elusivi della presente disposizione. Le regioni, le città metropolitane e i comuni possono comunque procedere ad assunzioni di personale a </w:t>
            </w:r>
            <w:r w:rsidRPr="00E847D3">
              <w:rPr>
                <w:rFonts w:ascii="Bookman Old Style" w:eastAsia="Times New Roman" w:hAnsi="Bookman Old Style" w:cs="Arial"/>
                <w:shd w:val="clear" w:color="auto" w:fill="FFFFFF"/>
                <w:lang w:eastAsia="it-IT"/>
              </w:rPr>
              <w:lastRenderedPageBreak/>
              <w:t>tempo determinato, con contratti di durata massima fino al 31 dicembre del medesimo esercizio, necessari a garantire l'esercizio delle funzioni di protezione civile, di polizia locale, di istruzione pubblica e del settore sociale nel rispetto del limite di spesa di cui al</w:t>
            </w:r>
            <w:r w:rsidRPr="00CF63B8">
              <w:rPr>
                <w:rFonts w:ascii="Bookman Old Style" w:eastAsia="Times New Roman" w:hAnsi="Bookman Old Style" w:cs="Arial"/>
                <w:lang w:eastAsia="it-IT"/>
              </w:rPr>
              <w:t> </w:t>
            </w:r>
            <w:hyperlink r:id="rId81" w:anchor="art9-com28" w:tgtFrame="rifNormativi" w:history="1">
              <w:r w:rsidRPr="00CF63B8">
                <w:rPr>
                  <w:rFonts w:ascii="Bookman Old Style" w:eastAsia="Times New Roman" w:hAnsi="Bookman Old Style" w:cs="Arial"/>
                  <w:lang w:eastAsia="it-IT"/>
                </w:rPr>
                <w:t>primo periodo del comma 28 dell'articolo 9 del decreto-legge 31 maggio 2010, n. 78</w:t>
              </w:r>
            </w:hyperlink>
            <w:r w:rsidRPr="00E847D3">
              <w:rPr>
                <w:rFonts w:ascii="Bookman Old Style" w:eastAsia="Times New Roman" w:hAnsi="Bookman Old Style" w:cs="Arial"/>
                <w:shd w:val="clear" w:color="auto" w:fill="FFFFFF"/>
                <w:lang w:eastAsia="it-IT"/>
              </w:rPr>
              <w:t>, convertito, con modificazioni, dalla</w:t>
            </w:r>
            <w:r w:rsidRPr="00CF63B8">
              <w:rPr>
                <w:rFonts w:ascii="Bookman Old Style" w:eastAsia="Times New Roman" w:hAnsi="Bookman Old Style" w:cs="Arial"/>
                <w:lang w:eastAsia="it-IT"/>
              </w:rPr>
              <w:t> </w:t>
            </w:r>
            <w:hyperlink r:id="rId82" w:tgtFrame="rifNormativi" w:history="1">
              <w:r w:rsidRPr="00CF63B8">
                <w:rPr>
                  <w:rFonts w:ascii="Bookman Old Style" w:eastAsia="Times New Roman" w:hAnsi="Bookman Old Style" w:cs="Arial"/>
                  <w:lang w:eastAsia="it-IT"/>
                </w:rPr>
                <w:t>legge 30 luglio 2010, n. 122</w:t>
              </w:r>
            </w:hyperlink>
            <w:r w:rsidRPr="00E847D3">
              <w:rPr>
                <w:rFonts w:ascii="Bookman Old Style" w:eastAsia="Times New Roman" w:hAnsi="Bookman Old Style" w:cs="Arial"/>
                <w:shd w:val="clear" w:color="auto" w:fill="FFFFFF"/>
                <w:lang w:eastAsia="it-IT"/>
              </w:rPr>
              <w:t>;</w:t>
            </w: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p>
          <w:p w:rsidR="00D53E9C" w:rsidRPr="005358D3" w:rsidRDefault="00D53E9C" w:rsidP="00D53E9C">
            <w:pPr>
              <w:shd w:val="clear" w:color="auto" w:fill="FFFFFF"/>
              <w:jc w:val="both"/>
              <w:rPr>
                <w:rFonts w:ascii="Bookman Old Style" w:eastAsia="Times New Roman" w:hAnsi="Bookman Old Style" w:cs="Arial"/>
                <w:lang w:eastAsia="it-IT"/>
              </w:rPr>
            </w:pPr>
            <w:r w:rsidRPr="00CF63B8">
              <w:rPr>
                <w:rFonts w:ascii="Bookman Old Style" w:eastAsia="Times New Roman" w:hAnsi="Bookman Old Style" w:cs="Arial"/>
                <w:i/>
                <w:iCs/>
                <w:lang w:eastAsia="it-IT"/>
              </w:rPr>
              <w:t>f)</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nell'anno successivo a quello di inadempienza, il presidente, il sindaco e i componenti della giunta in carica nell'esercizio in cui è avvenuta la violazione sono tenuti a versare al bilancio dell'ente il 30 per cento delle indennità di funzione e dei gettoni di presenza spettanti nell'esercizio della violazione.</w:t>
            </w:r>
          </w:p>
        </w:tc>
        <w:tc>
          <w:tcPr>
            <w:tcW w:w="7214" w:type="dxa"/>
            <w:gridSpan w:val="2"/>
          </w:tcPr>
          <w:p w:rsidR="00D53E9C" w:rsidRPr="00B0126D" w:rsidRDefault="008A761A" w:rsidP="00D53E9C">
            <w:pPr>
              <w:spacing w:after="120"/>
              <w:jc w:val="both"/>
              <w:rPr>
                <w:rFonts w:ascii="Bookman Old Style" w:hAnsi="Bookman Old Style"/>
                <w:i/>
              </w:rPr>
            </w:pPr>
            <w:r>
              <w:rPr>
                <w:rFonts w:ascii="Bookman Old Style" w:hAnsi="Bookman Old Style"/>
                <w:i/>
              </w:rPr>
              <w:lastRenderedPageBreak/>
              <w:t xml:space="preserve">Il </w:t>
            </w:r>
            <w:r w:rsidRPr="008A761A">
              <w:rPr>
                <w:rFonts w:ascii="Bookman Old Style" w:hAnsi="Bookman Old Style"/>
                <w:b/>
                <w:i/>
              </w:rPr>
              <w:t>comma 475</w:t>
            </w:r>
            <w:r w:rsidR="00D53E9C" w:rsidRPr="00B0126D">
              <w:rPr>
                <w:rFonts w:ascii="Bookman Old Style" w:hAnsi="Bookman Old Style"/>
                <w:i/>
              </w:rPr>
              <w:t xml:space="preserve">, sulla base delle disposizioni di cui all’art. 9, comma 4 della legge 243, nel confermare l’impianto delle sanzioni previste in caso di sforamento, introduce criteri di proporzionalità esplicitamente previsti dalla legge 243/2012. </w:t>
            </w:r>
          </w:p>
          <w:p w:rsidR="00D53E9C" w:rsidRPr="00B0126D" w:rsidRDefault="00D53E9C" w:rsidP="00D53E9C">
            <w:pPr>
              <w:spacing w:after="120"/>
              <w:jc w:val="both"/>
              <w:rPr>
                <w:rFonts w:ascii="Bookman Old Style" w:hAnsi="Bookman Old Style"/>
                <w:i/>
              </w:rPr>
            </w:pPr>
            <w:r w:rsidRPr="00B0126D">
              <w:rPr>
                <w:rFonts w:ascii="Bookman Old Style" w:hAnsi="Bookman Old Style"/>
                <w:i/>
              </w:rPr>
              <w:lastRenderedPageBreak/>
              <w:t>In particolare, in caso di mancato conseguimento del saldo di competenza, gli enti locali:</w:t>
            </w:r>
          </w:p>
          <w:p w:rsidR="00D53E9C" w:rsidRDefault="00D53E9C" w:rsidP="00D53E9C">
            <w:pPr>
              <w:pStyle w:val="Textbody"/>
              <w:numPr>
                <w:ilvl w:val="0"/>
                <w:numId w:val="5"/>
              </w:numPr>
              <w:spacing w:after="120" w:line="240" w:lineRule="auto"/>
              <w:ind w:left="261" w:hanging="261"/>
              <w:jc w:val="both"/>
              <w:rPr>
                <w:rFonts w:ascii="Bookman Old Style" w:eastAsiaTheme="minorHAnsi" w:hAnsi="Bookman Old Style" w:cstheme="minorBidi"/>
                <w:i/>
                <w:color w:val="auto"/>
                <w:sz w:val="22"/>
                <w:szCs w:val="22"/>
                <w:lang w:eastAsia="en-US" w:bidi="ar-SA"/>
              </w:rPr>
            </w:pPr>
            <w:r w:rsidRPr="00B0126D">
              <w:rPr>
                <w:rFonts w:ascii="Bookman Old Style" w:eastAsiaTheme="minorHAnsi" w:hAnsi="Bookman Old Style" w:cstheme="minorBidi"/>
                <w:i/>
                <w:color w:val="auto"/>
                <w:sz w:val="22"/>
                <w:szCs w:val="22"/>
                <w:lang w:eastAsia="en-US" w:bidi="ar-SA"/>
              </w:rPr>
              <w:t xml:space="preserve">sono assoggettati ad una riduzione del fondo di solidarietà comunale in misura pari all’importo corrispondente allo scostamento registrato. Analogamente, gli enti locali di Friuli-Venezia Giulia e Valle d'Aosta e delle Province autonome di Trento e di Bolzano sono assoggettati ad una riduzione dei trasferimenti correnti erogati dalle medesime regioni o Province autonome in misura pari all’importo corrispondente allo scostamento registrato. Tali riduzioni sono tuttavia </w:t>
            </w:r>
            <w:r w:rsidRPr="00B0126D">
              <w:rPr>
                <w:rFonts w:ascii="Bookman Old Style" w:eastAsiaTheme="minorHAnsi" w:hAnsi="Bookman Old Style" w:cstheme="minorBidi"/>
                <w:b/>
                <w:i/>
                <w:color w:val="auto"/>
                <w:sz w:val="22"/>
                <w:szCs w:val="22"/>
                <w:lang w:eastAsia="en-US" w:bidi="ar-SA"/>
              </w:rPr>
              <w:t>applicate nel triennio successivo a quello dell’inadempienza e a quote costanti</w:t>
            </w:r>
            <w:r w:rsidRPr="00B0126D">
              <w:rPr>
                <w:rFonts w:ascii="Bookman Old Style" w:eastAsiaTheme="minorHAnsi" w:hAnsi="Bookman Old Style" w:cstheme="minorBidi"/>
                <w:i/>
                <w:color w:val="auto"/>
                <w:sz w:val="22"/>
                <w:szCs w:val="22"/>
                <w:lang w:eastAsia="en-US" w:bidi="ar-SA"/>
              </w:rPr>
              <w:t>, così assicurando una maggiore sostenibilità della sanzione sui bilanci comunali. In caso di incapienza, gli enti locali sono tenuti a versare all’entrata del bilancio dello Stato le somme residue di ciascuna quota annuale. In caso di mancato versamento, il recupero è operato a valere su qualunque assegnazione finanziaria dovuta dal Ministero dell’interno e, in caso di incapienza, lo stesso Ministero può trattenere le relative somme all’atto del pagamento dell’imposta municipale propria;</w:t>
            </w: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D53E9C" w:rsidRDefault="00D53E9C" w:rsidP="00D53E9C">
            <w:pPr>
              <w:pStyle w:val="Textbody"/>
              <w:numPr>
                <w:ilvl w:val="0"/>
                <w:numId w:val="5"/>
              </w:numPr>
              <w:spacing w:after="120" w:line="240" w:lineRule="auto"/>
              <w:ind w:left="261" w:hanging="283"/>
              <w:jc w:val="both"/>
              <w:rPr>
                <w:rFonts w:ascii="Bookman Old Style" w:eastAsiaTheme="minorHAnsi" w:hAnsi="Bookman Old Style" w:cstheme="minorBidi"/>
                <w:i/>
                <w:color w:val="auto"/>
                <w:sz w:val="22"/>
                <w:szCs w:val="22"/>
                <w:lang w:eastAsia="en-US" w:bidi="ar-SA"/>
              </w:rPr>
            </w:pPr>
            <w:r w:rsidRPr="00B0126D">
              <w:rPr>
                <w:rFonts w:ascii="Bookman Old Style" w:eastAsiaTheme="minorHAnsi" w:hAnsi="Bookman Old Style" w:cstheme="minorBidi"/>
                <w:i/>
                <w:color w:val="auto"/>
                <w:sz w:val="22"/>
                <w:szCs w:val="22"/>
                <w:lang w:eastAsia="en-US" w:bidi="ar-SA"/>
              </w:rPr>
              <w:t>(si applica solo alle regioni e province autonome);</w:t>
            </w: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Pr="00B0126D"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D53E9C" w:rsidRPr="00B0126D" w:rsidRDefault="00D53E9C" w:rsidP="00D53E9C">
            <w:pPr>
              <w:pStyle w:val="Textbody"/>
              <w:numPr>
                <w:ilvl w:val="0"/>
                <w:numId w:val="5"/>
              </w:numPr>
              <w:spacing w:after="120" w:line="240" w:lineRule="auto"/>
              <w:ind w:left="261" w:hanging="283"/>
              <w:jc w:val="both"/>
              <w:rPr>
                <w:rFonts w:ascii="Bookman Old Style" w:eastAsiaTheme="minorHAnsi" w:hAnsi="Bookman Old Style" w:cstheme="minorBidi"/>
                <w:i/>
                <w:color w:val="auto"/>
                <w:sz w:val="22"/>
                <w:szCs w:val="22"/>
                <w:lang w:eastAsia="en-US" w:bidi="ar-SA"/>
              </w:rPr>
            </w:pPr>
            <w:r w:rsidRPr="00B0126D">
              <w:rPr>
                <w:rFonts w:ascii="Bookman Old Style" w:eastAsiaTheme="minorHAnsi" w:hAnsi="Bookman Old Style" w:cstheme="minorBidi"/>
                <w:i/>
                <w:color w:val="auto"/>
                <w:sz w:val="22"/>
                <w:szCs w:val="22"/>
                <w:lang w:eastAsia="en-US" w:bidi="ar-SA"/>
              </w:rPr>
              <w:t xml:space="preserve">non possono impegnare spese correnti, con imputazione all’esercizio successivo a quello dell’inadempienza, per un importo superiore ai corrispondenti impegni effettuati nell’anno precedente a quello di riferimento, </w:t>
            </w:r>
            <w:r w:rsidRPr="00B0126D">
              <w:rPr>
                <w:rFonts w:ascii="Bookman Old Style" w:eastAsiaTheme="minorHAnsi" w:hAnsi="Bookman Old Style" w:cstheme="minorBidi"/>
                <w:b/>
                <w:i/>
                <w:color w:val="auto"/>
                <w:sz w:val="22"/>
                <w:szCs w:val="22"/>
                <w:lang w:eastAsia="en-US" w:bidi="ar-SA"/>
              </w:rPr>
              <w:t>ridotti dell’1%</w:t>
            </w:r>
            <w:r w:rsidRPr="00B0126D">
              <w:rPr>
                <w:rFonts w:ascii="Bookman Old Style" w:eastAsiaTheme="minorHAnsi" w:hAnsi="Bookman Old Style" w:cstheme="minorBidi"/>
                <w:i/>
                <w:color w:val="auto"/>
                <w:sz w:val="22"/>
                <w:szCs w:val="22"/>
                <w:lang w:eastAsia="en-US" w:bidi="ar-SA"/>
              </w:rPr>
              <w:t xml:space="preserve">. La sanzione si applica con riferimento agli impegni riguardanti </w:t>
            </w:r>
            <w:r w:rsidRPr="00B0126D">
              <w:rPr>
                <w:rFonts w:ascii="Bookman Old Style" w:eastAsiaTheme="minorHAnsi" w:hAnsi="Bookman Old Style" w:cstheme="minorBidi"/>
                <w:b/>
                <w:bCs/>
                <w:i/>
                <w:iCs/>
                <w:color w:val="auto"/>
                <w:sz w:val="22"/>
                <w:szCs w:val="22"/>
                <w:lang w:eastAsia="en-US" w:bidi="ar-SA"/>
              </w:rPr>
              <w:t>le funzioni esercitate in entrambi gli esercizi</w:t>
            </w:r>
            <w:r w:rsidR="00712400">
              <w:rPr>
                <w:rFonts w:ascii="Bookman Old Style" w:eastAsiaTheme="minorHAnsi" w:hAnsi="Bookman Old Style" w:cstheme="minorBidi"/>
                <w:b/>
                <w:bCs/>
                <w:i/>
                <w:iCs/>
                <w:color w:val="auto"/>
                <w:sz w:val="22"/>
                <w:szCs w:val="22"/>
                <w:lang w:eastAsia="en-US" w:bidi="ar-SA"/>
              </w:rPr>
              <w:t xml:space="preserve"> </w:t>
            </w:r>
            <w:r w:rsidRPr="00B0126D">
              <w:rPr>
                <w:rFonts w:ascii="Bookman Old Style" w:eastAsiaTheme="minorHAnsi" w:hAnsi="Bookman Old Style" w:cstheme="minorBidi"/>
                <w:b/>
                <w:i/>
                <w:color w:val="auto"/>
                <w:sz w:val="22"/>
                <w:szCs w:val="22"/>
                <w:lang w:eastAsia="en-US" w:bidi="ar-SA"/>
              </w:rPr>
              <w:t>e al netto degli impegni relativi ai versamenti al bilancio dello Stato effettuati come contributo alla finanza pubblica</w:t>
            </w:r>
            <w:r w:rsidR="00712400">
              <w:rPr>
                <w:rFonts w:ascii="Bookman Old Style" w:eastAsiaTheme="minorHAnsi" w:hAnsi="Bookman Old Style" w:cstheme="minorBidi"/>
                <w:i/>
                <w:color w:val="auto"/>
                <w:sz w:val="22"/>
                <w:szCs w:val="22"/>
                <w:lang w:eastAsia="en-US" w:bidi="ar-SA"/>
              </w:rPr>
              <w:t xml:space="preserve">. La previsione </w:t>
            </w:r>
            <w:r w:rsidRPr="00B0126D">
              <w:rPr>
                <w:rFonts w:ascii="Bookman Old Style" w:eastAsiaTheme="minorHAnsi" w:hAnsi="Bookman Old Style" w:cstheme="minorBidi"/>
                <w:i/>
                <w:color w:val="auto"/>
                <w:sz w:val="22"/>
                <w:szCs w:val="22"/>
                <w:lang w:eastAsia="en-US" w:bidi="ar-SA"/>
              </w:rPr>
              <w:t>di cui all’ultimo periodo della lettera c) assume fondamentale importanza, alla luce sia delle nuove regole contabili sia del numero non trascurabile di enti incapienti nei rapporti finanziari con lo Stato;</w:t>
            </w:r>
          </w:p>
          <w:p w:rsidR="008A761A" w:rsidRDefault="00D53E9C" w:rsidP="008A761A">
            <w:pPr>
              <w:pStyle w:val="Textbody"/>
              <w:numPr>
                <w:ilvl w:val="0"/>
                <w:numId w:val="5"/>
              </w:numPr>
              <w:spacing w:after="120" w:line="240" w:lineRule="auto"/>
              <w:ind w:left="261" w:hanging="261"/>
              <w:jc w:val="both"/>
              <w:rPr>
                <w:rFonts w:ascii="Bookman Old Style" w:eastAsiaTheme="minorHAnsi" w:hAnsi="Bookman Old Style" w:cstheme="minorBidi"/>
                <w:i/>
                <w:color w:val="auto"/>
                <w:sz w:val="22"/>
                <w:szCs w:val="22"/>
                <w:lang w:eastAsia="en-US" w:bidi="ar-SA"/>
              </w:rPr>
            </w:pPr>
            <w:r w:rsidRPr="00B0126D">
              <w:rPr>
                <w:rFonts w:ascii="Bookman Old Style" w:eastAsiaTheme="minorHAnsi" w:hAnsi="Bookman Old Style" w:cstheme="minorBidi"/>
                <w:b/>
                <w:i/>
                <w:color w:val="auto"/>
                <w:sz w:val="22"/>
                <w:szCs w:val="22"/>
                <w:lang w:eastAsia="en-US" w:bidi="ar-SA"/>
              </w:rPr>
              <w:t>non possono ricorrere all’indebitamento per gli investimenti</w:t>
            </w:r>
            <w:r w:rsidRPr="00B0126D">
              <w:rPr>
                <w:rFonts w:ascii="Bookman Old Style" w:eastAsiaTheme="minorHAnsi" w:hAnsi="Bookman Old Style" w:cstheme="minorBidi"/>
                <w:i/>
                <w:color w:val="auto"/>
                <w:sz w:val="22"/>
                <w:szCs w:val="22"/>
                <w:lang w:eastAsia="en-US" w:bidi="ar-SA"/>
              </w:rPr>
              <w:t xml:space="preserve">. Pertanto, così come già avveniva in passato con il Patto di stabilità, gli accessi al credito devono essere corredati da apposita attestazione, da cui risulti il conseguimento dell’obiettivo di finanza pubblica relativo all’anno precedente. In assenza di tale attestazione, l’istituto finanziatore o l’intermediario finanziario non può procedere al finanziamento o al collocamento del prestito. Purtroppo, per tale sanzione non è stata prevista alcuna proporzionalità, nonostante le numerose e ripetute richieste sottoposte all’attenzione del legislatore; </w:t>
            </w:r>
          </w:p>
          <w:p w:rsidR="008A761A" w:rsidRPr="008A761A" w:rsidRDefault="008A761A" w:rsidP="008A761A">
            <w:pPr>
              <w:pStyle w:val="Textbody"/>
              <w:spacing w:after="120" w:line="240" w:lineRule="auto"/>
              <w:ind w:left="261"/>
              <w:jc w:val="both"/>
              <w:rPr>
                <w:rFonts w:ascii="Bookman Old Style" w:eastAsiaTheme="minorHAnsi" w:hAnsi="Bookman Old Style" w:cstheme="minorBidi"/>
                <w:i/>
                <w:color w:val="auto"/>
                <w:sz w:val="22"/>
                <w:szCs w:val="22"/>
                <w:lang w:eastAsia="en-US" w:bidi="ar-SA"/>
              </w:rPr>
            </w:pPr>
          </w:p>
          <w:p w:rsidR="00D53E9C" w:rsidRDefault="00D53E9C" w:rsidP="00D53E9C">
            <w:pPr>
              <w:pStyle w:val="Textbody"/>
              <w:numPr>
                <w:ilvl w:val="0"/>
                <w:numId w:val="5"/>
              </w:numPr>
              <w:spacing w:after="120" w:line="240" w:lineRule="auto"/>
              <w:ind w:left="261" w:hanging="261"/>
              <w:jc w:val="both"/>
              <w:rPr>
                <w:rFonts w:ascii="Bookman Old Style" w:eastAsiaTheme="minorHAnsi" w:hAnsi="Bookman Old Style" w:cstheme="minorBidi"/>
                <w:i/>
                <w:color w:val="auto"/>
                <w:sz w:val="22"/>
                <w:szCs w:val="22"/>
                <w:lang w:eastAsia="en-US" w:bidi="ar-SA"/>
              </w:rPr>
            </w:pPr>
            <w:r w:rsidRPr="00B0126D">
              <w:rPr>
                <w:rFonts w:ascii="Bookman Old Style" w:eastAsiaTheme="minorHAnsi" w:hAnsi="Bookman Old Style" w:cstheme="minorBidi"/>
                <w:i/>
                <w:color w:val="auto"/>
                <w:sz w:val="22"/>
                <w:szCs w:val="22"/>
                <w:lang w:eastAsia="en-US" w:bidi="ar-SA"/>
              </w:rPr>
              <w:t xml:space="preserve">non possono procedere ad assunzioni di personale a qualsiasi titolo e con qualsivoglia tipologia contrattuale, anche con riferimento ai processi di stabilizzazione in atto. Sono, inoltre, vietati i contratti di servizio con soggetti privati che si configurino come elusivi di tale sanzione. La novità introdotta dal Ddl Bilancio riguarda la possibilità di </w:t>
            </w:r>
            <w:r w:rsidRPr="00B0126D">
              <w:rPr>
                <w:rFonts w:ascii="Bookman Old Style" w:eastAsiaTheme="minorHAnsi" w:hAnsi="Bookman Old Style" w:cstheme="minorBidi"/>
                <w:b/>
                <w:i/>
                <w:color w:val="auto"/>
                <w:sz w:val="22"/>
                <w:szCs w:val="22"/>
                <w:lang w:eastAsia="en-US" w:bidi="ar-SA"/>
              </w:rPr>
              <w:t>assumere personale a tempo determinato, fino al 31 dicembre, per le funzioni di protezione civile, polizia locale, istruzione pubblica e settore sociale</w:t>
            </w:r>
            <w:r w:rsidRPr="00B0126D">
              <w:rPr>
                <w:rFonts w:ascii="Bookman Old Style" w:eastAsiaTheme="minorHAnsi" w:hAnsi="Bookman Old Style" w:cstheme="minorBidi"/>
                <w:i/>
                <w:color w:val="auto"/>
                <w:sz w:val="22"/>
                <w:szCs w:val="22"/>
                <w:lang w:eastAsia="en-US" w:bidi="ar-SA"/>
              </w:rPr>
              <w:t xml:space="preserve">, nei limiti vigenti per le assunzioni di personale </w:t>
            </w:r>
            <w:r w:rsidRPr="00B0126D">
              <w:rPr>
                <w:rFonts w:ascii="Bookman Old Style" w:eastAsiaTheme="minorHAnsi" w:hAnsi="Bookman Old Style" w:cstheme="minorBidi"/>
                <w:i/>
                <w:color w:val="auto"/>
                <w:sz w:val="22"/>
                <w:szCs w:val="22"/>
                <w:lang w:eastAsia="en-US" w:bidi="ar-SA"/>
              </w:rPr>
              <w:lastRenderedPageBreak/>
              <w:t>a tempo determinato, garantendo così la continuità di funzioni essenziali per la collettività di riferimento;</w:t>
            </w:r>
          </w:p>
          <w:p w:rsidR="008A761A" w:rsidRDefault="008A761A" w:rsidP="008A761A">
            <w:pPr>
              <w:pStyle w:val="Paragrafoelenco"/>
              <w:rPr>
                <w:rFonts w:ascii="Bookman Old Style" w:hAnsi="Bookman Old Style"/>
                <w:i/>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8A761A" w:rsidRPr="00B0126D" w:rsidRDefault="008A761A" w:rsidP="008A761A">
            <w:pPr>
              <w:pStyle w:val="Textbody"/>
              <w:spacing w:after="120" w:line="240" w:lineRule="auto"/>
              <w:jc w:val="both"/>
              <w:rPr>
                <w:rFonts w:ascii="Bookman Old Style" w:eastAsiaTheme="minorHAnsi" w:hAnsi="Bookman Old Style" w:cstheme="minorBidi"/>
                <w:i/>
                <w:color w:val="auto"/>
                <w:sz w:val="22"/>
                <w:szCs w:val="22"/>
                <w:lang w:eastAsia="en-US" w:bidi="ar-SA"/>
              </w:rPr>
            </w:pPr>
          </w:p>
          <w:p w:rsidR="00D53E9C" w:rsidRPr="00B0126D" w:rsidRDefault="00D53E9C" w:rsidP="00D53E9C">
            <w:pPr>
              <w:pStyle w:val="Paragrafoelenco"/>
              <w:numPr>
                <w:ilvl w:val="0"/>
                <w:numId w:val="5"/>
              </w:numPr>
              <w:spacing w:after="120"/>
              <w:ind w:left="261" w:hanging="261"/>
              <w:jc w:val="both"/>
              <w:rPr>
                <w:rFonts w:ascii="Bookman Old Style" w:hAnsi="Bookman Old Style"/>
                <w:i/>
              </w:rPr>
            </w:pPr>
            <w:r w:rsidRPr="00B0126D">
              <w:rPr>
                <w:rFonts w:ascii="Bookman Old Style" w:hAnsi="Bookman Old Style"/>
                <w:i/>
              </w:rPr>
              <w:t>devono rideterminare le i</w:t>
            </w:r>
            <w:r w:rsidRPr="00B0126D">
              <w:rPr>
                <w:rFonts w:ascii="Bookman Old Style" w:hAnsi="Bookman Old Style"/>
                <w:b/>
                <w:i/>
              </w:rPr>
              <w:t>ndennità di funzione e i gettoni di presenza degli amministratori locali</w:t>
            </w:r>
            <w:r w:rsidRPr="00B0126D">
              <w:rPr>
                <w:rFonts w:ascii="Bookman Old Style" w:hAnsi="Bookman Old Style"/>
                <w:i/>
              </w:rPr>
              <w:t xml:space="preserve"> (sindaco e componenti della giunta) in carica nell’esercizio in cui è avvenuta la violazione, con una </w:t>
            </w:r>
            <w:r w:rsidRPr="00B0126D">
              <w:rPr>
                <w:rFonts w:ascii="Bookman Old Style" w:hAnsi="Bookman Old Style"/>
                <w:b/>
                <w:i/>
              </w:rPr>
              <w:t>riduzione del 30%</w:t>
            </w:r>
            <w:r w:rsidRPr="00B0126D">
              <w:rPr>
                <w:rFonts w:ascii="Bookman Old Style" w:hAnsi="Bookman Old Style"/>
                <w:i/>
              </w:rPr>
              <w:t xml:space="preserve"> rispetto all’ammontare risultante alla data del 30 giugno 2014.</w:t>
            </w:r>
          </w:p>
        </w:tc>
      </w:tr>
      <w:tr w:rsidR="00D53E9C" w:rsidTr="006E24E5">
        <w:tc>
          <w:tcPr>
            <w:tcW w:w="7213" w:type="dxa"/>
            <w:gridSpan w:val="3"/>
          </w:tcPr>
          <w:p w:rsidR="00D53E9C" w:rsidRPr="00E847D3" w:rsidRDefault="00D53E9C" w:rsidP="00D53E9C">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lastRenderedPageBreak/>
              <w:t>4</w:t>
            </w:r>
            <w:r w:rsidR="008A761A">
              <w:rPr>
                <w:rFonts w:ascii="Bookman Old Style" w:eastAsia="Times New Roman" w:hAnsi="Bookman Old Style" w:cs="Arial"/>
                <w:lang w:eastAsia="it-IT"/>
              </w:rPr>
              <w:t>76</w:t>
            </w:r>
            <w:r w:rsidRPr="00E847D3">
              <w:rPr>
                <w:rFonts w:ascii="Bookman Old Style" w:eastAsia="Times New Roman" w:hAnsi="Bookman Old Style" w:cs="Arial"/>
                <w:lang w:eastAsia="it-IT"/>
              </w:rPr>
              <w:t>. Nel caso in cui il mancato conseguimento del saldo di cui al comma 4</w:t>
            </w:r>
            <w:r w:rsidR="008A761A">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risulti inferiore al 3 per cento degli accertamenti delle entrate finali dell'esercizio del mancato conseguimento del saldo, nell'anno successivo a quello dell'inadempienza la sanzio</w:t>
            </w:r>
            <w:r w:rsidR="008A761A">
              <w:rPr>
                <w:rFonts w:ascii="Bookman Old Style" w:eastAsia="Times New Roman" w:hAnsi="Bookman Old Style" w:cs="Arial"/>
                <w:lang w:eastAsia="it-IT"/>
              </w:rPr>
              <w:t>ne di cui al comma 475</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E847D3">
              <w:rPr>
                <w:rFonts w:ascii="Bookman Old Style" w:eastAsia="Times New Roman" w:hAnsi="Bookman Old Style" w:cs="Arial"/>
                <w:lang w:eastAsia="it-IT"/>
              </w:rPr>
              <w:t>, è applicata imponendo agli impegni di parte corrente, per le regioni al netto della sanità, un limite pari all'importo dei corrispondenti impegni dell'anno precedente</w:t>
            </w:r>
            <w:r w:rsidR="008A761A">
              <w:rPr>
                <w:rFonts w:ascii="Bookman Old Style" w:eastAsia="Times New Roman" w:hAnsi="Bookman Old Style" w:cs="Arial"/>
                <w:lang w:eastAsia="it-IT"/>
              </w:rPr>
              <w:t>; la sanzione di cui al comma 475</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e)</w:t>
            </w:r>
            <w:r w:rsidRPr="00E847D3">
              <w:rPr>
                <w:rFonts w:ascii="Bookman Old Style" w:eastAsia="Times New Roman" w:hAnsi="Bookman Old Style" w:cs="Arial"/>
                <w:lang w:eastAsia="it-IT"/>
              </w:rPr>
              <w:t>, è applicata solo per assunzioni di personale a tempo indeterminato</w:t>
            </w:r>
            <w:r w:rsidR="008A761A">
              <w:rPr>
                <w:rFonts w:ascii="Bookman Old Style" w:eastAsia="Times New Roman" w:hAnsi="Bookman Old Style" w:cs="Arial"/>
                <w:lang w:eastAsia="it-IT"/>
              </w:rPr>
              <w:t>; la sanzione di cui al comma 475</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f)</w:t>
            </w:r>
            <w:r w:rsidRPr="00E847D3">
              <w:rPr>
                <w:rFonts w:ascii="Bookman Old Style" w:eastAsia="Times New Roman" w:hAnsi="Bookman Old Style" w:cs="Arial"/>
                <w:lang w:eastAsia="it-IT"/>
              </w:rPr>
              <w:t>, è applicata dal presidente, dal sindaco e dai componenti della giunta in carica nell'esercizio in cui è avvenuta la violazione versando al bilancio dell'ente il 10 per cento delle indennità di funzione e dei gettoni di presenza spettanti nell'esercizio della violazione. Resta ferma</w:t>
            </w:r>
            <w:r w:rsidR="00712400">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l'applicazione delle rest</w:t>
            </w:r>
            <w:r w:rsidR="008A761A">
              <w:rPr>
                <w:rFonts w:ascii="Bookman Old Style" w:eastAsia="Times New Roman" w:hAnsi="Bookman Old Style" w:cs="Arial"/>
                <w:shd w:val="clear" w:color="auto" w:fill="FFFFFF"/>
                <w:lang w:eastAsia="it-IT"/>
              </w:rPr>
              <w:t>anti sanzioni di cui al comma 475</w:t>
            </w:r>
            <w:r w:rsidRPr="00E847D3">
              <w:rPr>
                <w:rFonts w:ascii="Bookman Old Style" w:eastAsia="Times New Roman" w:hAnsi="Bookman Old Style" w:cs="Arial"/>
                <w:shd w:val="clear" w:color="auto" w:fill="FFFFFF"/>
                <w:lang w:eastAsia="it-IT"/>
              </w:rPr>
              <w:t>.</w:t>
            </w:r>
            <w:r w:rsidRPr="00CF63B8">
              <w:rPr>
                <w:rFonts w:ascii="Bookman Old Style" w:eastAsia="Times New Roman" w:hAnsi="Bookman Old Style" w:cs="Arial"/>
                <w:lang w:eastAsia="it-IT"/>
              </w:rPr>
              <w:t> </w:t>
            </w:r>
          </w:p>
        </w:tc>
        <w:tc>
          <w:tcPr>
            <w:tcW w:w="7214" w:type="dxa"/>
            <w:gridSpan w:val="2"/>
          </w:tcPr>
          <w:p w:rsidR="00D53E9C" w:rsidRPr="00B0126D" w:rsidRDefault="008A761A" w:rsidP="00D53E9C">
            <w:pPr>
              <w:jc w:val="both"/>
              <w:rPr>
                <w:rFonts w:ascii="Bookman Old Style" w:hAnsi="Bookman Old Style"/>
                <w:i/>
                <w:color w:val="000000"/>
              </w:rPr>
            </w:pPr>
            <w:r>
              <w:rPr>
                <w:rFonts w:ascii="Bookman Old Style" w:hAnsi="Bookman Old Style"/>
                <w:i/>
                <w:color w:val="000000"/>
              </w:rPr>
              <w:t xml:space="preserve">Il </w:t>
            </w:r>
            <w:r w:rsidRPr="008A761A">
              <w:rPr>
                <w:rFonts w:ascii="Bookman Old Style" w:hAnsi="Bookman Old Style"/>
                <w:b/>
                <w:i/>
                <w:color w:val="000000"/>
              </w:rPr>
              <w:t>comma 476</w:t>
            </w:r>
            <w:r w:rsidR="00D53E9C" w:rsidRPr="00B0126D">
              <w:rPr>
                <w:rFonts w:ascii="Bookman Old Style" w:hAnsi="Bookman Old Style"/>
                <w:i/>
                <w:color w:val="000000"/>
              </w:rPr>
              <w:t xml:space="preserve"> introduce un ulteriore criterio rispetto alla proporzionalità della sanzione rispetto allo sforamento registrato. </w:t>
            </w:r>
          </w:p>
          <w:p w:rsidR="00D53E9C" w:rsidRPr="00B0126D" w:rsidRDefault="00D53E9C" w:rsidP="00D53E9C">
            <w:pPr>
              <w:jc w:val="both"/>
              <w:rPr>
                <w:rFonts w:ascii="Bookman Old Style" w:hAnsi="Bookman Old Style"/>
                <w:i/>
                <w:color w:val="000000"/>
              </w:rPr>
            </w:pPr>
            <w:r w:rsidRPr="00B0126D">
              <w:rPr>
                <w:rFonts w:ascii="Bookman Old Style" w:hAnsi="Bookman Old Style"/>
                <w:b/>
                <w:i/>
                <w:color w:val="000000"/>
              </w:rPr>
              <w:t>Agli enti che non rispettano il saldo per un importo inferiore al 3%</w:t>
            </w:r>
            <w:r w:rsidRPr="00B0126D">
              <w:rPr>
                <w:rFonts w:ascii="Bookman Old Style" w:eastAsia="Times New Roman" w:hAnsi="Bookman Old Style" w:cs="Arial"/>
                <w:b/>
                <w:i/>
                <w:lang w:eastAsia="it-IT"/>
              </w:rPr>
              <w:t xml:space="preserve"> degli accertamenti delle entrate finali</w:t>
            </w:r>
            <w:r w:rsidRPr="00B0126D">
              <w:rPr>
                <w:rFonts w:ascii="Bookman Old Style" w:eastAsia="Times New Roman" w:hAnsi="Bookman Old Style" w:cs="Arial"/>
                <w:i/>
                <w:lang w:eastAsia="it-IT"/>
              </w:rPr>
              <w:t xml:space="preserve"> è riservata</w:t>
            </w:r>
            <w:r w:rsidRPr="00B0126D">
              <w:rPr>
                <w:rFonts w:ascii="Bookman Old Style" w:hAnsi="Bookman Old Style"/>
                <w:i/>
                <w:color w:val="000000"/>
              </w:rPr>
              <w:t xml:space="preserve"> una riduzione delle sanzioni:</w:t>
            </w:r>
          </w:p>
          <w:p w:rsidR="00D53E9C" w:rsidRPr="00B0126D" w:rsidRDefault="00D53E9C" w:rsidP="00D53E9C">
            <w:pPr>
              <w:pStyle w:val="Paragrafoelenco"/>
              <w:numPr>
                <w:ilvl w:val="0"/>
                <w:numId w:val="6"/>
              </w:numPr>
              <w:ind w:left="261" w:hanging="261"/>
              <w:jc w:val="both"/>
              <w:rPr>
                <w:rFonts w:ascii="Bookman Old Style" w:hAnsi="Bookman Old Style"/>
                <w:i/>
                <w:color w:val="000000"/>
              </w:rPr>
            </w:pPr>
            <w:r w:rsidRPr="00B0126D">
              <w:rPr>
                <w:rFonts w:ascii="Bookman Old Style" w:hAnsi="Bookman Old Style"/>
                <w:i/>
                <w:color w:val="000000"/>
              </w:rPr>
              <w:t>il limite agli impegni di spesa corrente è pari a quello dell’anno precedente (cfr. lettera c) comma 13);</w:t>
            </w:r>
          </w:p>
          <w:p w:rsidR="00D53E9C" w:rsidRPr="00B0126D" w:rsidRDefault="00D53E9C" w:rsidP="00D53E9C">
            <w:pPr>
              <w:pStyle w:val="Paragrafoelenco"/>
              <w:numPr>
                <w:ilvl w:val="0"/>
                <w:numId w:val="6"/>
              </w:numPr>
              <w:ind w:left="261" w:hanging="261"/>
              <w:jc w:val="both"/>
              <w:rPr>
                <w:rFonts w:ascii="Bookman Old Style" w:hAnsi="Bookman Old Style"/>
                <w:i/>
                <w:color w:val="000000"/>
              </w:rPr>
            </w:pPr>
            <w:r w:rsidRPr="00B0126D">
              <w:rPr>
                <w:rFonts w:ascii="Bookman Old Style" w:hAnsi="Bookman Old Style"/>
                <w:i/>
                <w:color w:val="000000"/>
              </w:rPr>
              <w:t>il limite alle assunzioni di personale si riferisce alle sole assunzioni a tempo indeterminato (cfr. lettera e) comma 13),;</w:t>
            </w:r>
          </w:p>
          <w:p w:rsidR="00D53E9C" w:rsidRPr="00B0126D" w:rsidRDefault="00D53E9C" w:rsidP="00D53E9C">
            <w:pPr>
              <w:pStyle w:val="Paragrafoelenco"/>
              <w:numPr>
                <w:ilvl w:val="0"/>
                <w:numId w:val="6"/>
              </w:numPr>
              <w:ind w:left="261" w:hanging="261"/>
              <w:jc w:val="both"/>
              <w:rPr>
                <w:rFonts w:ascii="Bookman Old Style" w:hAnsi="Bookman Old Style"/>
                <w:i/>
                <w:color w:val="000000"/>
              </w:rPr>
            </w:pPr>
            <w:r w:rsidRPr="00B0126D">
              <w:rPr>
                <w:rFonts w:ascii="Bookman Old Style" w:hAnsi="Bookman Old Style"/>
                <w:i/>
                <w:color w:val="000000"/>
              </w:rPr>
              <w:t>la riduzione dell’indennità di funzione e i gettoni di presenza in capo agli amministratori in carica nell’anno in cui è avvenuta la sanzione è pari al 10% (cfr. lettera f) comma 13).</w:t>
            </w:r>
          </w:p>
        </w:tc>
      </w:tr>
      <w:tr w:rsidR="00D53E9C" w:rsidTr="006E24E5">
        <w:tc>
          <w:tcPr>
            <w:tcW w:w="7213" w:type="dxa"/>
            <w:gridSpan w:val="3"/>
          </w:tcPr>
          <w:p w:rsidR="00D53E9C" w:rsidRPr="00E847D3" w:rsidRDefault="00163E20"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477</w:t>
            </w:r>
            <w:r w:rsidR="00D53E9C" w:rsidRPr="00E847D3">
              <w:rPr>
                <w:rFonts w:ascii="Bookman Old Style" w:eastAsia="Times New Roman" w:hAnsi="Bookman Old Style" w:cs="Arial"/>
                <w:shd w:val="clear" w:color="auto" w:fill="FFFFFF"/>
                <w:lang w:eastAsia="it-IT"/>
              </w:rPr>
              <w:t>. Agli enti per i quali il mancato conseguimento del saldo di cui al comma 4</w:t>
            </w:r>
            <w:r>
              <w:rPr>
                <w:rFonts w:ascii="Bookman Old Style" w:eastAsia="Times New Roman" w:hAnsi="Bookman Old Style" w:cs="Arial"/>
                <w:shd w:val="clear" w:color="auto" w:fill="FFFFFF"/>
                <w:lang w:eastAsia="it-IT"/>
              </w:rPr>
              <w:t>66</w:t>
            </w:r>
            <w:r w:rsidR="00D53E9C" w:rsidRPr="00E847D3">
              <w:rPr>
                <w:rFonts w:ascii="Bookman Old Style" w:eastAsia="Times New Roman" w:hAnsi="Bookman Old Style" w:cs="Arial"/>
                <w:shd w:val="clear" w:color="auto" w:fill="FFFFFF"/>
                <w:lang w:eastAsia="it-IT"/>
              </w:rPr>
              <w:t xml:space="preserve"> sia accertato dalla Corte dei conti successivamente all'anno seguente a quello cui la violazione si riferisce</w:t>
            </w:r>
            <w:r>
              <w:rPr>
                <w:rFonts w:ascii="Bookman Old Style" w:eastAsia="Times New Roman" w:hAnsi="Bookman Old Style" w:cs="Arial"/>
                <w:shd w:val="clear" w:color="auto" w:fill="FFFFFF"/>
                <w:lang w:eastAsia="it-IT"/>
              </w:rPr>
              <w:t>, le sanzioni di cui al comma 475</w:t>
            </w:r>
            <w:r w:rsidR="00D53E9C" w:rsidRPr="00E847D3">
              <w:rPr>
                <w:rFonts w:ascii="Bookman Old Style" w:eastAsia="Times New Roman" w:hAnsi="Bookman Old Style" w:cs="Arial"/>
                <w:shd w:val="clear" w:color="auto" w:fill="FFFFFF"/>
                <w:lang w:eastAsia="it-IT"/>
              </w:rPr>
              <w:t xml:space="preserve"> si applicano nell'anno successivo a quello della comunicazione del mancato conseguimen</w:t>
            </w:r>
            <w:r>
              <w:rPr>
                <w:rFonts w:ascii="Bookman Old Style" w:eastAsia="Times New Roman" w:hAnsi="Bookman Old Style" w:cs="Arial"/>
                <w:shd w:val="clear" w:color="auto" w:fill="FFFFFF"/>
                <w:lang w:eastAsia="it-IT"/>
              </w:rPr>
              <w:t>to del saldo, di cui al comma 478</w:t>
            </w:r>
            <w:r w:rsidR="00D53E9C" w:rsidRPr="00E847D3">
              <w:rPr>
                <w:rFonts w:ascii="Bookman Old Style" w:eastAsia="Times New Roman" w:hAnsi="Bookman Old Style" w:cs="Arial"/>
                <w:shd w:val="clear" w:color="auto" w:fill="FFFFFF"/>
                <w:lang w:eastAsia="it-IT"/>
              </w:rPr>
              <w: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Nel caso in cui la violazione del saldo sia accertata dalla Corte dei Conti dopo l’anno successivo a quello cui la violazione si riferisce, le sanzioni si applicano nell’anno successivo a quello della comunicazione</w:t>
            </w:r>
            <w:r w:rsidR="00163E20">
              <w:rPr>
                <w:rFonts w:ascii="Bookman Old Style" w:hAnsi="Bookman Old Style"/>
                <w:i/>
                <w:color w:val="000000"/>
              </w:rPr>
              <w:t xml:space="preserve"> (</w:t>
            </w:r>
            <w:r w:rsidR="00163E20" w:rsidRPr="00163E20">
              <w:rPr>
                <w:rFonts w:ascii="Bookman Old Style" w:hAnsi="Bookman Old Style"/>
                <w:b/>
                <w:i/>
                <w:color w:val="000000"/>
              </w:rPr>
              <w:t>Comma 477</w:t>
            </w:r>
            <w:r w:rsidR="00163E20">
              <w:rPr>
                <w:rFonts w:ascii="Bookman Old Style" w:hAnsi="Bookman Old Style"/>
                <w:i/>
                <w:color w:val="000000"/>
              </w:rPr>
              <w:t>).</w:t>
            </w:r>
          </w:p>
        </w:tc>
      </w:tr>
      <w:tr w:rsidR="00D53E9C" w:rsidTr="006E24E5">
        <w:tc>
          <w:tcPr>
            <w:tcW w:w="7213" w:type="dxa"/>
            <w:gridSpan w:val="3"/>
          </w:tcPr>
          <w:p w:rsidR="00D53E9C" w:rsidRPr="00E847D3" w:rsidRDefault="00163E20"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 xml:space="preserve">478. Gli enti di cui al comma 477 </w:t>
            </w:r>
            <w:r w:rsidR="00D53E9C" w:rsidRPr="00E847D3">
              <w:rPr>
                <w:rFonts w:ascii="Bookman Old Style" w:eastAsia="Times New Roman" w:hAnsi="Bookman Old Style" w:cs="Arial"/>
                <w:shd w:val="clear" w:color="auto" w:fill="FFFFFF"/>
                <w:lang w:eastAsia="it-IT"/>
              </w:rPr>
              <w:t xml:space="preserve">sono tenuti a comunicare </w:t>
            </w:r>
            <w:r w:rsidR="00D53E9C" w:rsidRPr="00E847D3">
              <w:rPr>
                <w:rFonts w:ascii="Bookman Old Style" w:eastAsia="Times New Roman" w:hAnsi="Bookman Old Style" w:cs="Arial"/>
                <w:shd w:val="clear" w:color="auto" w:fill="FFFFFF"/>
                <w:lang w:eastAsia="it-IT"/>
              </w:rPr>
              <w:lastRenderedPageBreak/>
              <w:t>l'inadempienza entro trenta giorni dall'accertamento della violazione mediante l'invio di una nuova certificazione al Ministero dell'economia e delle finanze – Dipartimento della Ragioneria generale dello Stato.</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lastRenderedPageBreak/>
              <w:t xml:space="preserve">Gli enti per i quali lo sforamento del saldo sia accertato dalla </w:t>
            </w:r>
            <w:r w:rsidRPr="00B0126D">
              <w:rPr>
                <w:rFonts w:ascii="Bookman Old Style" w:hAnsi="Bookman Old Style"/>
                <w:i/>
                <w:color w:val="000000"/>
              </w:rPr>
              <w:lastRenderedPageBreak/>
              <w:t>Corte dei Conti nei termini di cui al comma 15 devono comunicare l’inadempienza, con una nuova certificazione, entro 30 giorni dall’</w:t>
            </w:r>
            <w:r w:rsidR="00163E20">
              <w:rPr>
                <w:rFonts w:ascii="Bookman Old Style" w:hAnsi="Bookman Old Style"/>
                <w:i/>
                <w:color w:val="000000"/>
              </w:rPr>
              <w:t>accertamento della violazione (</w:t>
            </w:r>
            <w:r w:rsidR="00163E20">
              <w:rPr>
                <w:rFonts w:ascii="Bookman Old Style" w:hAnsi="Bookman Old Style"/>
                <w:b/>
                <w:i/>
                <w:color w:val="000000"/>
              </w:rPr>
              <w:t>Comma 478</w:t>
            </w:r>
            <w:r w:rsidR="00163E20">
              <w:rPr>
                <w:rFonts w:ascii="Bookman Old Style" w:hAnsi="Bookman Old Style"/>
                <w:i/>
                <w:color w:val="000000"/>
              </w:rPr>
              <w:t>).</w:t>
            </w:r>
          </w:p>
        </w:tc>
      </w:tr>
      <w:tr w:rsidR="00D53E9C" w:rsidTr="006E24E5">
        <w:tc>
          <w:tcPr>
            <w:tcW w:w="7213" w:type="dxa"/>
            <w:gridSpan w:val="3"/>
          </w:tcPr>
          <w:p w:rsidR="00D53E9C" w:rsidRDefault="00163E20"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lastRenderedPageBreak/>
              <w:t>479</w:t>
            </w:r>
            <w:r w:rsidR="00D53E9C" w:rsidRPr="00E847D3">
              <w:rPr>
                <w:rFonts w:ascii="Bookman Old Style" w:eastAsia="Times New Roman" w:hAnsi="Bookman Old Style" w:cs="Arial"/>
                <w:shd w:val="clear" w:color="auto" w:fill="FFFFFF"/>
                <w:lang w:eastAsia="it-IT"/>
              </w:rPr>
              <w:t>. Ai sensi dell'</w:t>
            </w:r>
            <w:hyperlink r:id="rId83" w:anchor="art9-com4" w:tgtFrame="rifNormativi" w:history="1">
              <w:r w:rsidR="00D53E9C" w:rsidRPr="00CF63B8">
                <w:rPr>
                  <w:rFonts w:ascii="Bookman Old Style" w:eastAsia="Times New Roman" w:hAnsi="Bookman Old Style" w:cs="Arial"/>
                  <w:lang w:eastAsia="it-IT"/>
                </w:rPr>
                <w:t>articolo 9, comma 4, della legge 24 dicembre 2012, n. 243</w:t>
              </w:r>
            </w:hyperlink>
            <w:r w:rsidR="00D53E9C" w:rsidRPr="00E847D3">
              <w:rPr>
                <w:rFonts w:ascii="Bookman Old Style" w:eastAsia="Times New Roman" w:hAnsi="Bookman Old Style" w:cs="Arial"/>
                <w:shd w:val="clear" w:color="auto" w:fill="FFFFFF"/>
                <w:lang w:eastAsia="it-IT"/>
              </w:rPr>
              <w:t>, a decorrere dall'anno 2018, con riferimento ai risultati dell'anno precedente e a condizione del rispetto dei termini perentori di certificazione di cui a</w:t>
            </w:r>
            <w:r>
              <w:rPr>
                <w:rFonts w:ascii="Bookman Old Style" w:eastAsia="Times New Roman" w:hAnsi="Bookman Old Style" w:cs="Arial"/>
                <w:shd w:val="clear" w:color="auto" w:fill="FFFFFF"/>
                <w:lang w:eastAsia="it-IT"/>
              </w:rPr>
              <w:t>i commi 470 e 473</w:t>
            </w:r>
            <w:r w:rsidR="00D53E9C" w:rsidRPr="00E847D3">
              <w:rPr>
                <w:rFonts w:ascii="Bookman Old Style" w:eastAsia="Times New Roman" w:hAnsi="Bookman Old Style" w:cs="Arial"/>
                <w:shd w:val="clear" w:color="auto" w:fill="FFFFFF"/>
                <w:lang w:eastAsia="it-IT"/>
              </w:rPr>
              <w:t>:</w:t>
            </w:r>
          </w:p>
          <w:p w:rsidR="00D53E9C" w:rsidRPr="00E847D3" w:rsidRDefault="00D53E9C" w:rsidP="00D53E9C">
            <w:pPr>
              <w:shd w:val="clear" w:color="auto" w:fill="FFFFFF"/>
              <w:jc w:val="both"/>
              <w:rPr>
                <w:rFonts w:ascii="Bookman Old Style" w:eastAsia="Times New Roman" w:hAnsi="Bookman Old Style" w:cs="Times New Roman"/>
                <w:lang w:eastAsia="it-IT"/>
              </w:rPr>
            </w:pPr>
          </w:p>
          <w:p w:rsidR="00D53E9C" w:rsidRDefault="00D53E9C" w:rsidP="00D53E9C">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alle regioni che rispettano il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e che conseguono un saldo finale di cassa non negativo fra le entrate e le spese finali, sono assegnate, con decreto del Ministero dell'economia e delle finanze, entro il 30 luglio di ciascun anno, le eventuali risorse incassate dal bilancio dello Stato alla data del</w:t>
            </w:r>
            <w:r w:rsidR="00163E20">
              <w:rPr>
                <w:rFonts w:ascii="Bookman Old Style" w:eastAsia="Times New Roman" w:hAnsi="Bookman Old Style" w:cs="Arial"/>
                <w:lang w:eastAsia="it-IT"/>
              </w:rPr>
              <w:t xml:space="preserve"> 30 giugno ai sensi del comma 475</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E847D3">
              <w:rPr>
                <w:rFonts w:ascii="Bookman Old Style" w:eastAsia="Times New Roman" w:hAnsi="Bookman Old Style" w:cs="Arial"/>
                <w:lang w:eastAsia="it-IT"/>
              </w:rPr>
              <w:t>, per essere destinate alla realizzazione di investimenti. L'ammontare delle risorse per ciascuna regione è determinato d'intesa con la Conferenza permanente per i rapporti fra lo Stato, le regioni e le Province autonome di Trento e di Bolzano. Le regioni che conseguono il saldo finale di cassa non negativo trasmettono, al Ministero dell'economia e delle finanze – Dipartimento della Ragioneria generale dello Stato, le informazioni concernenti il monitoraggio al 31 dicembre del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e la certificazione dei relativi risultati, in termini di competenza e in termini di cassa, secondo le modalità previste d</w:t>
            </w:r>
            <w:r w:rsidR="00163E20">
              <w:rPr>
                <w:rFonts w:ascii="Bookman Old Style" w:eastAsia="Times New Roman" w:hAnsi="Bookman Old Style" w:cs="Arial"/>
                <w:lang w:eastAsia="it-IT"/>
              </w:rPr>
              <w:t>ai decreti di cui al comma 469</w:t>
            </w:r>
            <w:r w:rsidRPr="00E847D3">
              <w:rPr>
                <w:rFonts w:ascii="Bookman Old Style" w:eastAsia="Times New Roman" w:hAnsi="Bookman Old Style" w:cs="Arial"/>
                <w:lang w:eastAsia="it-IT"/>
              </w:rPr>
              <w:t>. Ai fini del saldo di cassa rileva l'anticipazione erogata dalla tesoreria statale nel corso dell'esercizio per il finanziamento della sanità registrata nell'apposita</w:t>
            </w:r>
            <w:r w:rsidR="00712400">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voce delle partite di giro, al netto delle relative regolazioni contabili imputate contabilmente al medesimo esercizio;</w:t>
            </w:r>
          </w:p>
          <w:p w:rsidR="00D53E9C" w:rsidRPr="00E847D3" w:rsidRDefault="00D53E9C" w:rsidP="00D53E9C">
            <w:pPr>
              <w:shd w:val="clear" w:color="auto" w:fill="FFFFFF"/>
              <w:jc w:val="both"/>
              <w:rPr>
                <w:rFonts w:ascii="Bookman Old Style" w:eastAsia="Times New Roman" w:hAnsi="Bookman Old Style" w:cs="Times New Roman"/>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alle città metropolitane, alle province e ai comuni, che rispettano il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e che conseguono un saldo finale di cassa non negativo fra le entrate finali e le spese finali, sono assegnate, con decreto del Ministero dell'economia e </w:t>
            </w:r>
            <w:r w:rsidRPr="00E847D3">
              <w:rPr>
                <w:rFonts w:ascii="Bookman Old Style" w:eastAsia="Times New Roman" w:hAnsi="Bookman Old Style" w:cs="Arial"/>
                <w:lang w:eastAsia="it-IT"/>
              </w:rPr>
              <w:lastRenderedPageBreak/>
              <w:t>delle finanze, entro il 30 luglio di ciascun anno, le eventuali risorse derivanti dalla riduzione del fondo sperimentale di riequilibrio o del fondo di solidarietà comunale e dai versamenti e recuperi, effettivamen</w:t>
            </w:r>
            <w:r w:rsidR="00163E20">
              <w:rPr>
                <w:rFonts w:ascii="Bookman Old Style" w:eastAsia="Times New Roman" w:hAnsi="Bookman Old Style" w:cs="Arial"/>
                <w:lang w:eastAsia="it-IT"/>
              </w:rPr>
              <w:t>te incassati, di cui al comma 475</w:t>
            </w:r>
            <w:r w:rsidRPr="00E847D3">
              <w:rPr>
                <w:rFonts w:ascii="Bookman Old Style" w:eastAsia="Times New Roman" w:hAnsi="Bookman Old Style" w:cs="Arial"/>
                <w:lang w:eastAsia="it-IT"/>
              </w:rPr>
              <w:t>, lettera</w:t>
            </w:r>
            <w:r w:rsidRPr="00CF63B8">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E847D3">
              <w:rPr>
                <w:rFonts w:ascii="Bookman Old Style" w:eastAsia="Times New Roman" w:hAnsi="Bookman Old Style" w:cs="Arial"/>
                <w:lang w:eastAsia="it-IT"/>
              </w:rPr>
              <w:t>, per essere destinate alla realizzazione di investimenti. L'ammontare delle risorse per ciascuna città metropolitana, provincia e comune è determinato d'intesa con la Conferenza Stato-città ed autonomie locali. Le città metropolitane, le province e i comuni che conseguono il saldo finale di cassa non negativo, trasmettono, al Ministero dell'economia e delle finanze – Dipartimento della Ragioneria generale dello Stato, le informazioni concernenti il monitoraggio al 31 dicembre del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xml:space="preserve"> e la certificazione dei relativi risultati, in termini di competenza e in termini di cassa, secondo le modalità previs</w:t>
            </w:r>
            <w:r w:rsidR="00163E20">
              <w:rPr>
                <w:rFonts w:ascii="Bookman Old Style" w:eastAsia="Times New Roman" w:hAnsi="Bookman Old Style" w:cs="Arial"/>
                <w:lang w:eastAsia="it-IT"/>
              </w:rPr>
              <w:t>te dai decreti di cui al comma 469</w:t>
            </w:r>
            <w:r w:rsidRPr="00E847D3">
              <w:rPr>
                <w:rFonts w:ascii="Bookman Old Style" w:eastAsia="Times New Roman" w:hAnsi="Bookman Old Style" w:cs="Arial"/>
                <w:lang w:eastAsia="it-IT"/>
              </w:rPr>
              <w:t>;</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per le regioni e le città metropolitane che rispettano il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lasciando spazi finanziari inutilizzati inferiori all'1 per cento degli accertamenti delle entrate finali dell'esercizio nel quale è rispettato il medesimo saldo, nell'anno successivo la spesa per rapporti di lavoro flessibile di cui all'</w:t>
            </w:r>
            <w:hyperlink r:id="rId84" w:anchor="art9-com28" w:tgtFrame="rifNormativi" w:history="1">
              <w:r w:rsidRPr="00CF63B8">
                <w:rPr>
                  <w:rFonts w:ascii="Bookman Old Style" w:eastAsia="Times New Roman" w:hAnsi="Bookman Old Style" w:cs="Arial"/>
                  <w:lang w:eastAsia="it-IT"/>
                </w:rPr>
                <w:t>articolo 9, comma 28, del decreto-legge 31 maggio 2010, n. 78</w:t>
              </w:r>
            </w:hyperlink>
            <w:r w:rsidRPr="00E847D3">
              <w:rPr>
                <w:rFonts w:ascii="Bookman Old Style" w:eastAsia="Times New Roman" w:hAnsi="Bookman Old Style" w:cs="Arial"/>
                <w:lang w:eastAsia="it-IT"/>
              </w:rPr>
              <w:t>, convertito, con modificazioni, dalla</w:t>
            </w:r>
            <w:r w:rsidRPr="00CF63B8">
              <w:rPr>
                <w:rFonts w:ascii="Bookman Old Style" w:eastAsia="Times New Roman" w:hAnsi="Bookman Old Style" w:cs="Arial"/>
                <w:lang w:eastAsia="it-IT"/>
              </w:rPr>
              <w:t> </w:t>
            </w:r>
            <w:hyperlink r:id="rId85" w:tgtFrame="rifNormativi" w:history="1">
              <w:r w:rsidRPr="00CF63B8">
                <w:rPr>
                  <w:rFonts w:ascii="Bookman Old Style" w:eastAsia="Times New Roman" w:hAnsi="Bookman Old Style" w:cs="Arial"/>
                  <w:lang w:eastAsia="it-IT"/>
                </w:rPr>
                <w:t>legge 30 luglio 2010, n. 122</w:t>
              </w:r>
            </w:hyperlink>
            <w:r w:rsidRPr="00E847D3">
              <w:rPr>
                <w:rFonts w:ascii="Bookman Old Style" w:eastAsia="Times New Roman" w:hAnsi="Bookman Old Style" w:cs="Arial"/>
                <w:lang w:eastAsia="it-IT"/>
              </w:rPr>
              <w:t>, può essere innalzata del 10 per cento della spesa sostenibile ai sensi del predetto comma 28;</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Pr="00E847D3" w:rsidRDefault="00D53E9C" w:rsidP="00D53E9C">
            <w:pPr>
              <w:shd w:val="clear" w:color="auto" w:fill="FFFFFF"/>
              <w:jc w:val="both"/>
              <w:rPr>
                <w:rFonts w:ascii="Bookman Old Style" w:eastAsia="Times New Roman" w:hAnsi="Bookman Old Style" w:cs="Arial"/>
                <w:shd w:val="clear" w:color="auto" w:fill="FFFFFF"/>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d)</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per i comuni che rispettano il saldo di cui al comma 4</w:t>
            </w:r>
            <w:r w:rsidR="00163E20">
              <w:rPr>
                <w:rFonts w:ascii="Bookman Old Style" w:eastAsia="Times New Roman" w:hAnsi="Bookman Old Style" w:cs="Arial"/>
                <w:lang w:eastAsia="it-IT"/>
              </w:rPr>
              <w:t>66</w:t>
            </w:r>
            <w:r w:rsidRPr="00E847D3">
              <w:rPr>
                <w:rFonts w:ascii="Bookman Old Style" w:eastAsia="Times New Roman" w:hAnsi="Bookman Old Style" w:cs="Arial"/>
                <w:lang w:eastAsia="it-IT"/>
              </w:rPr>
              <w:t>, lasciando spazi finanziari inutilizzati inferiori all'1 per cento degli accertamenti delle entrate finali dell'esercizio nel quale è rispettato il medesimo saldo, nell'anno successivo la percentuale stabilita al primo periodo del comma</w:t>
            </w:r>
            <w:r w:rsidRPr="00E847D3">
              <w:rPr>
                <w:rFonts w:ascii="Bookman Old Style" w:eastAsia="Times New Roman" w:hAnsi="Bookman Old Style" w:cs="Arial"/>
                <w:shd w:val="clear" w:color="auto" w:fill="FFFFFF"/>
                <w:lang w:eastAsia="it-IT"/>
              </w:rPr>
              <w:t>228 dell'</w:t>
            </w:r>
            <w:hyperlink r:id="rId86" w:anchor="art1" w:tgtFrame="rifNormativi" w:history="1">
              <w:r w:rsidRPr="00CF63B8">
                <w:rPr>
                  <w:rFonts w:ascii="Bookman Old Style" w:eastAsia="Times New Roman" w:hAnsi="Bookman Old Style" w:cs="Arial"/>
                  <w:lang w:eastAsia="it-IT"/>
                </w:rPr>
                <w:t>articolo 1 della legge 28 dicembre 2015, n. 208</w:t>
              </w:r>
            </w:hyperlink>
            <w:r w:rsidRPr="00E847D3">
              <w:rPr>
                <w:rFonts w:ascii="Bookman Old Style" w:eastAsia="Times New Roman" w:hAnsi="Bookman Old Style" w:cs="Arial"/>
                <w:shd w:val="clear" w:color="auto" w:fill="FFFFFF"/>
                <w:lang w:eastAsia="it-IT"/>
              </w:rPr>
              <w:t xml:space="preserve">, è innalzata al 75 per cento qualora il rapporto dipendenti-popolazione dell'anno precedente sia inferiore al rapporto medio dipendenti-popolazione per classe demografica, come definito triennalmente con il decreto del Ministro dell'interno di cui all'articolo 263, comma 2, del testo </w:t>
            </w:r>
            <w:r w:rsidRPr="00E847D3">
              <w:rPr>
                <w:rFonts w:ascii="Bookman Old Style" w:eastAsia="Times New Roman" w:hAnsi="Bookman Old Style" w:cs="Arial"/>
                <w:shd w:val="clear" w:color="auto" w:fill="FFFFFF"/>
                <w:lang w:eastAsia="it-IT"/>
              </w:rPr>
              <w:lastRenderedPageBreak/>
              <w:t>unico degli enti locali, di cui al</w:t>
            </w:r>
            <w:r w:rsidRPr="00CF63B8">
              <w:rPr>
                <w:rFonts w:ascii="Bookman Old Style" w:eastAsia="Times New Roman" w:hAnsi="Bookman Old Style" w:cs="Arial"/>
                <w:lang w:eastAsia="it-IT"/>
              </w:rPr>
              <w:t> </w:t>
            </w:r>
            <w:hyperlink r:id="rId87" w:tgtFrame="rifNormativi" w:history="1">
              <w:r w:rsidRPr="00CF63B8">
                <w:rPr>
                  <w:rFonts w:ascii="Bookman Old Style" w:eastAsia="Times New Roman" w:hAnsi="Bookman Old Style" w:cs="Arial"/>
                  <w:lang w:eastAsia="it-IT"/>
                </w:rPr>
                <w:t>decreto legislativo 18 agosto 2000, n. 267</w:t>
              </w:r>
            </w:hyperlink>
            <w:r w:rsidRPr="00E847D3">
              <w:rPr>
                <w:rFonts w:ascii="Bookman Old Style" w:eastAsia="Times New Roman" w:hAnsi="Bookman Old Style" w:cs="Arial"/>
                <w:shd w:val="clear" w:color="auto" w:fill="FFFFFF"/>
                <w:lang w:eastAsia="it-IT"/>
              </w:rPr>
              <w:t>.</w:t>
            </w:r>
          </w:p>
        </w:tc>
        <w:tc>
          <w:tcPr>
            <w:tcW w:w="7214" w:type="dxa"/>
            <w:gridSpan w:val="2"/>
          </w:tcPr>
          <w:p w:rsidR="00D53E9C" w:rsidRPr="00B0126D" w:rsidRDefault="00163E20" w:rsidP="00D53E9C">
            <w:pPr>
              <w:jc w:val="both"/>
              <w:rPr>
                <w:rFonts w:ascii="Bookman Old Style" w:hAnsi="Bookman Old Style"/>
                <w:i/>
                <w:color w:val="000000"/>
              </w:rPr>
            </w:pPr>
            <w:r>
              <w:rPr>
                <w:rFonts w:ascii="Bookman Old Style" w:hAnsi="Bookman Old Style"/>
                <w:i/>
                <w:color w:val="000000"/>
              </w:rPr>
              <w:lastRenderedPageBreak/>
              <w:t xml:space="preserve">Anche il </w:t>
            </w:r>
            <w:r w:rsidRPr="00163E20">
              <w:rPr>
                <w:rFonts w:ascii="Bookman Old Style" w:hAnsi="Bookman Old Style"/>
                <w:b/>
                <w:i/>
                <w:color w:val="000000"/>
              </w:rPr>
              <w:t>comma 479</w:t>
            </w:r>
            <w:r w:rsidR="00A52622">
              <w:rPr>
                <w:rFonts w:ascii="Bookman Old Style" w:hAnsi="Bookman Old Style"/>
                <w:b/>
                <w:i/>
                <w:color w:val="000000"/>
              </w:rPr>
              <w:t xml:space="preserve"> </w:t>
            </w:r>
            <w:r w:rsidR="00D53E9C" w:rsidRPr="00B0126D">
              <w:rPr>
                <w:rFonts w:ascii="Bookman Old Style" w:hAnsi="Bookman Old Style"/>
                <w:i/>
                <w:color w:val="000000"/>
              </w:rPr>
              <w:t xml:space="preserve">introduce un </w:t>
            </w:r>
            <w:r w:rsidR="00D53E9C" w:rsidRPr="00B0126D">
              <w:rPr>
                <w:rFonts w:ascii="Bookman Old Style" w:hAnsi="Bookman Old Style"/>
                <w:b/>
                <w:i/>
                <w:color w:val="000000"/>
              </w:rPr>
              <w:t>criterio di proporzionalità tra premi e rispetto del saldo</w:t>
            </w:r>
            <w:r w:rsidR="00D53E9C" w:rsidRPr="00B0126D">
              <w:rPr>
                <w:rFonts w:ascii="Bookman Old Style" w:hAnsi="Bookman Old Style"/>
                <w:i/>
                <w:color w:val="000000"/>
              </w:rPr>
              <w:t xml:space="preserve">. Le lettere b) e d) si riferiscono agli enti locali: </w:t>
            </w:r>
          </w:p>
          <w:p w:rsidR="00A52622" w:rsidRDefault="00A52622" w:rsidP="00D53E9C">
            <w:pPr>
              <w:jc w:val="both"/>
              <w:rPr>
                <w:rFonts w:ascii="Bookman Old Style" w:hAnsi="Bookman Old Style"/>
                <w:i/>
                <w:color w:val="000000"/>
              </w:rPr>
            </w:pPr>
          </w:p>
          <w:p w:rsidR="00D53E9C" w:rsidRPr="00B0126D" w:rsidRDefault="00D53E9C" w:rsidP="00D53E9C">
            <w:pPr>
              <w:jc w:val="both"/>
              <w:rPr>
                <w:rFonts w:ascii="Bookman Old Style" w:eastAsia="Times New Roman" w:hAnsi="Bookman Old Style" w:cs="Arial"/>
                <w:i/>
                <w:lang w:eastAsia="it-IT"/>
              </w:rPr>
            </w:pPr>
            <w:r w:rsidRPr="00B0126D">
              <w:rPr>
                <w:rFonts w:ascii="Bookman Old Style" w:hAnsi="Bookman Old Style"/>
                <w:i/>
                <w:color w:val="000000"/>
              </w:rPr>
              <w:t xml:space="preserve">b) </w:t>
            </w:r>
            <w:r w:rsidRPr="00B0126D">
              <w:rPr>
                <w:rFonts w:ascii="Bookman Old Style" w:eastAsia="Times New Roman" w:hAnsi="Bookman Old Style" w:cs="Arial"/>
                <w:i/>
                <w:lang w:eastAsia="it-IT"/>
              </w:rPr>
              <w:t xml:space="preserve">alle città metropolitane, alle province e ai comuni che </w:t>
            </w:r>
            <w:r w:rsidRPr="00B0126D">
              <w:rPr>
                <w:rFonts w:ascii="Bookman Old Style" w:eastAsia="Times New Roman" w:hAnsi="Bookman Old Style" w:cs="Arial"/>
                <w:b/>
                <w:i/>
                <w:lang w:eastAsia="it-IT"/>
              </w:rPr>
              <w:t>rispettano il saldo finale di competenza</w:t>
            </w:r>
            <w:r w:rsidR="00712400">
              <w:rPr>
                <w:rFonts w:ascii="Bookman Old Style" w:eastAsia="Times New Roman" w:hAnsi="Bookman Old Style" w:cs="Arial"/>
                <w:b/>
                <w:i/>
                <w:lang w:eastAsia="it-IT"/>
              </w:rPr>
              <w:t xml:space="preserve"> </w:t>
            </w:r>
            <w:r w:rsidRPr="00B0126D">
              <w:rPr>
                <w:rFonts w:ascii="Bookman Old Style" w:eastAsia="Times New Roman" w:hAnsi="Bookman Old Style" w:cs="Arial"/>
                <w:b/>
                <w:i/>
                <w:lang w:eastAsia="it-IT"/>
              </w:rPr>
              <w:t>e</w:t>
            </w:r>
            <w:r w:rsidRPr="00B0126D">
              <w:rPr>
                <w:rFonts w:ascii="Bookman Old Style" w:eastAsia="Times New Roman" w:hAnsi="Bookman Old Style" w:cs="Arial"/>
                <w:i/>
                <w:lang w:eastAsia="it-IT"/>
              </w:rPr>
              <w:t xml:space="preserve"> che hanno un </w:t>
            </w:r>
            <w:r w:rsidRPr="00B0126D">
              <w:rPr>
                <w:rFonts w:ascii="Bookman Old Style" w:eastAsia="Times New Roman" w:hAnsi="Bookman Old Style" w:cs="Arial"/>
                <w:b/>
                <w:i/>
                <w:lang w:eastAsia="it-IT"/>
              </w:rPr>
              <w:t>saldo finale di cassa non negativo</w:t>
            </w:r>
            <w:r w:rsidRPr="00B0126D">
              <w:rPr>
                <w:rFonts w:ascii="Bookman Old Style" w:eastAsia="Times New Roman" w:hAnsi="Bookman Old Style" w:cs="Arial"/>
                <w:i/>
                <w:lang w:eastAsia="it-IT"/>
              </w:rPr>
              <w:t xml:space="preserve"> sono assegnate le eventuali risorse derivanti dalle sanzioni finanziarie comminate agli enti inadempienti (comma 13, lett. a).</w:t>
            </w:r>
          </w:p>
          <w:p w:rsidR="00D53E9C" w:rsidRDefault="00D53E9C" w:rsidP="00D53E9C">
            <w:pPr>
              <w:jc w:val="both"/>
              <w:rPr>
                <w:rFonts w:ascii="Bookman Old Style" w:eastAsia="Times New Roman" w:hAnsi="Bookman Old Style" w:cs="Arial"/>
                <w:i/>
                <w:lang w:eastAsia="it-IT"/>
              </w:rPr>
            </w:pPr>
            <w:r w:rsidRPr="00B0126D">
              <w:rPr>
                <w:rFonts w:ascii="Bookman Old Style" w:eastAsia="Times New Roman" w:hAnsi="Bookman Old Style" w:cs="Arial"/>
                <w:i/>
                <w:lang w:eastAsia="it-IT"/>
              </w:rPr>
              <w:t xml:space="preserve">Tali risorse devono essere utilizzate </w:t>
            </w:r>
            <w:r w:rsidRPr="00B0126D">
              <w:rPr>
                <w:rFonts w:ascii="Bookman Old Style" w:eastAsia="Times New Roman" w:hAnsi="Bookman Old Style" w:cs="Arial"/>
                <w:b/>
                <w:i/>
                <w:lang w:eastAsia="it-IT"/>
              </w:rPr>
              <w:t>per la realizzazione di investimenti</w:t>
            </w:r>
            <w:r w:rsidRPr="00B0126D">
              <w:rPr>
                <w:rFonts w:ascii="Bookman Old Style" w:eastAsia="Times New Roman" w:hAnsi="Bookman Old Style" w:cs="Arial"/>
                <w:i/>
                <w:lang w:eastAsia="it-IT"/>
              </w:rPr>
              <w:t xml:space="preserve"> e sono assegnate entro il 30 luglio di ciascun anno con decreto MEF. L’ammontare delle risorse è determinato d’intesa con la Conferenza Stato-città ed autonomie locali. </w:t>
            </w:r>
          </w:p>
          <w:p w:rsidR="00A52622" w:rsidRPr="00B0126D" w:rsidRDefault="00A52622" w:rsidP="00D53E9C">
            <w:pPr>
              <w:jc w:val="both"/>
              <w:rPr>
                <w:rFonts w:ascii="Bookman Old Style" w:eastAsia="Times New Roman" w:hAnsi="Bookman Old Style" w:cs="Arial"/>
                <w:i/>
                <w:lang w:eastAsia="it-IT"/>
              </w:rPr>
            </w:pPr>
          </w:p>
          <w:p w:rsidR="00D53E9C" w:rsidRDefault="00D53E9C" w:rsidP="00D53E9C">
            <w:pPr>
              <w:jc w:val="both"/>
              <w:rPr>
                <w:rFonts w:ascii="Bookman Old Style" w:eastAsia="Times New Roman" w:hAnsi="Bookman Old Style" w:cs="Arial"/>
                <w:i/>
                <w:lang w:eastAsia="it-IT"/>
              </w:rPr>
            </w:pPr>
            <w:r w:rsidRPr="00B0126D">
              <w:rPr>
                <w:rFonts w:ascii="Bookman Old Style" w:eastAsia="Times New Roman" w:hAnsi="Bookman Old Style" w:cs="Arial"/>
                <w:i/>
                <w:iCs/>
                <w:lang w:eastAsia="it-IT"/>
              </w:rPr>
              <w:t>L</w:t>
            </w:r>
            <w:r w:rsidRPr="00B0126D">
              <w:rPr>
                <w:rFonts w:ascii="Bookman Old Style" w:eastAsia="Times New Roman" w:hAnsi="Bookman Old Style" w:cs="Arial"/>
                <w:i/>
                <w:lang w:eastAsia="it-IT"/>
              </w:rPr>
              <w:t>a lettera d) introduce una novità in termini di premi, fissando una soglia entro la quale l’overshooting può essere considerato fisiologico e non indice di deficitaria programmazione/gestione delle risorse disponibili</w:t>
            </w:r>
            <w:r w:rsidRPr="00A52622">
              <w:rPr>
                <w:rFonts w:ascii="Bookman Old Style" w:eastAsia="Times New Roman" w:hAnsi="Bookman Old Style" w:cs="Arial"/>
                <w:i/>
                <w:lang w:eastAsia="it-IT"/>
              </w:rPr>
              <w:t>.</w:t>
            </w:r>
            <w:r w:rsidRPr="00B0126D">
              <w:rPr>
                <w:rFonts w:ascii="Bookman Old Style" w:eastAsia="Times New Roman" w:hAnsi="Bookman Old Style" w:cs="Arial"/>
                <w:b/>
                <w:i/>
                <w:lang w:eastAsia="it-IT"/>
              </w:rPr>
              <w:t xml:space="preserve"> Per i comuni che rispettano il saldo e il cui overshooting è inferiore all'1% degli accertamenti delle entrate finali</w:t>
            </w:r>
            <w:r w:rsidRPr="00B0126D">
              <w:rPr>
                <w:rFonts w:ascii="Bookman Old Style" w:eastAsia="Times New Roman" w:hAnsi="Bookman Old Style" w:cs="Arial"/>
                <w:i/>
                <w:lang w:eastAsia="it-IT"/>
              </w:rPr>
              <w:t xml:space="preserve">, infatti, nell'anno successivo la percentuale del turn over del personale è innalzata al 75% (anziché al 25% come stabilito per la generalità degli enti). </w:t>
            </w:r>
          </w:p>
          <w:p w:rsidR="00DC61B5" w:rsidRPr="00B0126D" w:rsidRDefault="00DC61B5" w:rsidP="00D2241F">
            <w:pPr>
              <w:jc w:val="both"/>
              <w:rPr>
                <w:rFonts w:ascii="Bookman Old Style" w:eastAsia="Times New Roman" w:hAnsi="Bookman Old Style" w:cs="Arial"/>
                <w:i/>
                <w:lang w:eastAsia="it-IT"/>
              </w:rPr>
            </w:pPr>
            <w:r w:rsidRPr="00D2241F">
              <w:rPr>
                <w:rFonts w:ascii="Bookman Old Style" w:eastAsia="Times New Roman" w:hAnsi="Bookman Old Style" w:cs="Arial"/>
                <w:i/>
                <w:lang w:eastAsia="it-IT"/>
              </w:rPr>
              <w:t xml:space="preserve">Su questo punto va osservato che a seguito delle modifiche introdotte </w:t>
            </w:r>
            <w:r w:rsidR="00D2241F" w:rsidRPr="00D2241F">
              <w:rPr>
                <w:rFonts w:ascii="Bookman Old Style" w:eastAsia="Times New Roman" w:hAnsi="Bookman Old Style" w:cs="Arial"/>
                <w:i/>
                <w:lang w:eastAsia="it-IT"/>
              </w:rPr>
              <w:t xml:space="preserve">dal </w:t>
            </w:r>
            <w:r w:rsidRPr="00D2241F">
              <w:rPr>
                <w:rFonts w:ascii="Bookman Old Style" w:eastAsia="Times New Roman" w:hAnsi="Bookman Old Style" w:cs="Arial"/>
                <w:i/>
                <w:lang w:eastAsia="it-IT"/>
              </w:rPr>
              <w:t xml:space="preserve"> dl 113, per i Comuni fino a 10 mila abitanti la quota di turn over riconosciuta ai fini delle facoltà di copertura è già fissata al 75%. Il dispositivo incentivante, pertanto, non avrebbe effetto proprio sull’ampia fascia di comuni di minori dimensioni che per ragioni storiche e strutturali sono più esposti al rischio di superamento degli obiettivi finanziari.</w:t>
            </w:r>
          </w:p>
        </w:tc>
      </w:tr>
      <w:tr w:rsidR="00D53E9C" w:rsidTr="006E24E5">
        <w:tc>
          <w:tcPr>
            <w:tcW w:w="7213" w:type="dxa"/>
            <w:gridSpan w:val="3"/>
          </w:tcPr>
          <w:p w:rsidR="00D53E9C" w:rsidRPr="00E847D3" w:rsidRDefault="00163E20"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lang w:eastAsia="it-IT"/>
              </w:rPr>
              <w:lastRenderedPageBreak/>
              <w:t>480</w:t>
            </w:r>
            <w:r w:rsidR="00D53E9C" w:rsidRPr="00E847D3">
              <w:rPr>
                <w:rFonts w:ascii="Bookman Old Style" w:eastAsia="Times New Roman" w:hAnsi="Bookman Old Style" w:cs="Arial"/>
                <w:lang w:eastAsia="it-IT"/>
              </w:rPr>
              <w:t>. I contratti di servizio e gli altri atti posti in essere dagli enti, che si configurano elusivi d</w:t>
            </w:r>
            <w:r>
              <w:rPr>
                <w:rFonts w:ascii="Bookman Old Style" w:eastAsia="Times New Roman" w:hAnsi="Bookman Old Style" w:cs="Arial"/>
                <w:lang w:eastAsia="it-IT"/>
              </w:rPr>
              <w:t>elle regole di cui ai commi da 463 a 484</w:t>
            </w:r>
            <w:r w:rsidR="00D53E9C" w:rsidRPr="00E847D3">
              <w:rPr>
                <w:rFonts w:ascii="Bookman Old Style" w:eastAsia="Times New Roman" w:hAnsi="Bookman Old Style" w:cs="Arial"/>
                <w:lang w:eastAsia="it-IT"/>
              </w:rPr>
              <w:t>, sono nulli.</w:t>
            </w:r>
          </w:p>
        </w:tc>
        <w:tc>
          <w:tcPr>
            <w:tcW w:w="7214" w:type="dxa"/>
            <w:gridSpan w:val="2"/>
          </w:tcPr>
          <w:p w:rsidR="00D53E9C" w:rsidRPr="00B0126D" w:rsidRDefault="00163E20" w:rsidP="00D53E9C">
            <w:pPr>
              <w:jc w:val="both"/>
              <w:rPr>
                <w:rFonts w:ascii="Bookman Old Style" w:hAnsi="Bookman Old Style"/>
                <w:i/>
                <w:color w:val="000000"/>
              </w:rPr>
            </w:pPr>
            <w:r>
              <w:rPr>
                <w:rFonts w:ascii="Bookman Old Style" w:hAnsi="Bookman Old Style"/>
                <w:i/>
              </w:rPr>
              <w:t xml:space="preserve">Ai sensi del </w:t>
            </w:r>
            <w:r w:rsidRPr="00163E20">
              <w:rPr>
                <w:rFonts w:ascii="Bookman Old Style" w:hAnsi="Bookman Old Style"/>
                <w:b/>
                <w:i/>
              </w:rPr>
              <w:t>comma 480</w:t>
            </w:r>
            <w:r>
              <w:rPr>
                <w:rFonts w:ascii="Bookman Old Style" w:hAnsi="Bookman Old Style"/>
                <w:i/>
              </w:rPr>
              <w:t xml:space="preserve"> i </w:t>
            </w:r>
            <w:r w:rsidR="00D53E9C" w:rsidRPr="00B0126D">
              <w:rPr>
                <w:rFonts w:ascii="Bookman Old Style" w:hAnsi="Bookman Old Style"/>
                <w:i/>
              </w:rPr>
              <w:t>contratti di servizio e gli altri atti posti in essere dagli enti che si configurano elusivi delle regole per il conseguimento del saldo sono nulli</w:t>
            </w:r>
          </w:p>
        </w:tc>
      </w:tr>
      <w:tr w:rsidR="00D53E9C" w:rsidTr="006E24E5">
        <w:tc>
          <w:tcPr>
            <w:tcW w:w="7213" w:type="dxa"/>
            <w:gridSpan w:val="3"/>
          </w:tcPr>
          <w:p w:rsidR="00D53E9C" w:rsidRPr="00E847D3" w:rsidRDefault="00104AA3"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481</w:t>
            </w:r>
            <w:r w:rsidR="00D53E9C" w:rsidRPr="00E847D3">
              <w:rPr>
                <w:rFonts w:ascii="Bookman Old Style" w:eastAsia="Times New Roman" w:hAnsi="Bookman Old Style" w:cs="Arial"/>
                <w:lang w:eastAsia="it-IT"/>
              </w:rPr>
              <w:t>. Qualora le sezioni giurisdizionali regionali della Corte dei conti accertino che il rispetto d</w:t>
            </w:r>
            <w:r w:rsidR="00E91485">
              <w:rPr>
                <w:rFonts w:ascii="Bookman Old Style" w:eastAsia="Times New Roman" w:hAnsi="Bookman Old Style" w:cs="Arial"/>
                <w:lang w:eastAsia="it-IT"/>
              </w:rPr>
              <w:t>elle regole di cui ai commi da 463 a 484</w:t>
            </w:r>
            <w:r w:rsidR="00D53E9C" w:rsidRPr="00E847D3">
              <w:rPr>
                <w:rFonts w:ascii="Bookman Old Style" w:eastAsia="Times New Roman" w:hAnsi="Bookman Old Style" w:cs="Arial"/>
                <w:lang w:eastAsia="it-IT"/>
              </w:rPr>
              <w:t xml:space="preserve"> è stato artificiosamente conseguito mediante una non corretta applicazione dei princìpi contabili di cui al</w:t>
            </w:r>
            <w:r w:rsidR="00D53E9C" w:rsidRPr="00CF63B8">
              <w:rPr>
                <w:rFonts w:ascii="Bookman Old Style" w:eastAsia="Times New Roman" w:hAnsi="Bookman Old Style" w:cs="Arial"/>
                <w:lang w:eastAsia="it-IT"/>
              </w:rPr>
              <w:t> </w:t>
            </w:r>
            <w:hyperlink r:id="rId88" w:tgtFrame="rifNormativi" w:history="1">
              <w:r w:rsidR="00D53E9C" w:rsidRPr="00CF63B8">
                <w:rPr>
                  <w:rFonts w:ascii="Bookman Old Style" w:eastAsia="Times New Roman" w:hAnsi="Bookman Old Style" w:cs="Arial"/>
                  <w:lang w:eastAsia="it-IT"/>
                </w:rPr>
                <w:t>decreto legislativo 23 giugno 2011, n. 118</w:t>
              </w:r>
            </w:hyperlink>
            <w:r w:rsidR="00D53E9C" w:rsidRPr="00E847D3">
              <w:rPr>
                <w:rFonts w:ascii="Bookman Old Style" w:eastAsia="Times New Roman" w:hAnsi="Bookman Old Style" w:cs="Arial"/>
                <w:lang w:eastAsia="it-IT"/>
              </w:rPr>
              <w:t>, o altre forme elusive, le stesse irrogano, agli amministratori che hanno posto in essere atti elusivi delle predette regole, la condanna ad una sanzione pecuniaria fino a un massimo di dieci volte l'indennità di carica percepita al momento di commissione dell'elusione e al responsabile amministrativo individuato dalla sezione giurisdizionale regionale della Corte dei conti una sanzione pecuniaria fino a tre mensilità del trattamento retributivo, al netto degli oneri fiscali e previdenziali. Gli importi di cui al periodo precedente sono acquisiti al bilancio dell'ente.</w:t>
            </w:r>
          </w:p>
        </w:tc>
        <w:tc>
          <w:tcPr>
            <w:tcW w:w="7214" w:type="dxa"/>
            <w:gridSpan w:val="2"/>
          </w:tcPr>
          <w:p w:rsidR="00D53E9C" w:rsidRPr="00B0126D" w:rsidRDefault="00D53E9C" w:rsidP="00712400">
            <w:pPr>
              <w:jc w:val="both"/>
              <w:rPr>
                <w:rFonts w:ascii="Bookman Old Style" w:hAnsi="Bookman Old Style"/>
                <w:i/>
                <w:color w:val="000000"/>
              </w:rPr>
            </w:pPr>
            <w:r w:rsidRPr="00B0126D">
              <w:rPr>
                <w:rFonts w:ascii="Bookman Old Style" w:hAnsi="Bookman Old Style"/>
                <w:i/>
              </w:rPr>
              <w:t>L’ulteriore sanzione pecuniaria direttamente a carico degli amministratori e del responsabile del servizio economico-finanziario può assumere un ammontare pari ad un massimo di dieci volte l’indennità di carica percepita al momento dell’elusione per i primi, fino a tre volte la mensilità (al netto degli oneri fiscali e previdenziali) per i secondi. La sanzione è stabilita dalle Sezioni giurisdizionali della Corte dei conti, nei casi in cui accertino che il rispetto del saldo è stato raggiunto mediante imputazioni contabili non corrette o attraverso altre forme elusive</w:t>
            </w:r>
            <w:r w:rsidR="00712400">
              <w:rPr>
                <w:rFonts w:ascii="Bookman Old Style" w:hAnsi="Bookman Old Style"/>
                <w:i/>
              </w:rPr>
              <w:t xml:space="preserve"> </w:t>
            </w:r>
            <w:r w:rsidR="007B08CE" w:rsidRPr="007B08CE">
              <w:rPr>
                <w:rFonts w:ascii="Bookman Old Style" w:hAnsi="Bookman Old Style"/>
                <w:i/>
                <w:color w:val="000000"/>
              </w:rPr>
              <w:t>(</w:t>
            </w:r>
            <w:r w:rsidR="00104AA3">
              <w:rPr>
                <w:rFonts w:ascii="Bookman Old Style" w:hAnsi="Bookman Old Style"/>
                <w:b/>
                <w:i/>
                <w:color w:val="000000"/>
              </w:rPr>
              <w:t>Comma 481</w:t>
            </w:r>
            <w:r w:rsidR="007B08CE">
              <w:rPr>
                <w:rFonts w:ascii="Bookman Old Style" w:hAnsi="Bookman Old Style"/>
                <w:i/>
                <w:color w:val="000000"/>
              </w:rPr>
              <w:t>).</w:t>
            </w:r>
          </w:p>
        </w:tc>
      </w:tr>
      <w:tr w:rsidR="00D53E9C" w:rsidTr="006E24E5">
        <w:tc>
          <w:tcPr>
            <w:tcW w:w="7213" w:type="dxa"/>
            <w:gridSpan w:val="3"/>
          </w:tcPr>
          <w:p w:rsidR="00D53E9C" w:rsidRPr="00E847D3" w:rsidRDefault="00E91485"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482</w:t>
            </w:r>
            <w:r w:rsidR="00D53E9C" w:rsidRPr="00E847D3">
              <w:rPr>
                <w:rFonts w:ascii="Bookman Old Style" w:eastAsia="Times New Roman" w:hAnsi="Bookman Old Style" w:cs="Arial"/>
                <w:lang w:eastAsia="it-IT"/>
              </w:rPr>
              <w:t>. Qualora risultino, anche sulla base dei dati de</w:t>
            </w:r>
            <w:r w:rsidR="00E5606A">
              <w:rPr>
                <w:rFonts w:ascii="Bookman Old Style" w:eastAsia="Times New Roman" w:hAnsi="Bookman Old Style" w:cs="Arial"/>
                <w:lang w:eastAsia="it-IT"/>
              </w:rPr>
              <w:t>l monitoraggio di cui al comma 468</w:t>
            </w:r>
            <w:r w:rsidR="00D53E9C" w:rsidRPr="00E847D3">
              <w:rPr>
                <w:rFonts w:ascii="Bookman Old Style" w:eastAsia="Times New Roman" w:hAnsi="Bookman Old Style" w:cs="Arial"/>
                <w:lang w:eastAsia="it-IT"/>
              </w:rPr>
              <w:t>, andamenti di spesa degli enti non coerenti con gli impegni finanziari assunti con l'Unione europea, il Ministro dell'economia e delle finanze, sentite la Conferenza Stato-città ed autonomie locali e la Conferenza permanente per i rapporti tra lo Stato, le regioni e le province autonome di Trento e di Bolzano, propone adeguate misure di contenimento della predetta spesa.</w:t>
            </w:r>
          </w:p>
        </w:tc>
        <w:tc>
          <w:tcPr>
            <w:tcW w:w="7214" w:type="dxa"/>
            <w:gridSpan w:val="2"/>
          </w:tcPr>
          <w:p w:rsidR="00D53E9C" w:rsidRPr="00B0126D" w:rsidRDefault="00D53E9C" w:rsidP="00712400">
            <w:pPr>
              <w:jc w:val="both"/>
              <w:rPr>
                <w:rFonts w:ascii="Bookman Old Style" w:hAnsi="Bookman Old Style"/>
                <w:i/>
                <w:color w:val="000000"/>
              </w:rPr>
            </w:pPr>
            <w:r w:rsidRPr="00B0126D">
              <w:rPr>
                <w:rFonts w:ascii="Bookman Old Style" w:hAnsi="Bookman Old Style"/>
                <w:i/>
              </w:rPr>
              <w:t>Qualora sulla base dei dati del monitoraggio risultino andamenti di spesa degli enti non coerenti con gli impegni finanziari assunti dal Paese con l’Unione europea, il MEF, sentita la Conferenza Stato-città ed autonomie locali, propone misure di contenimento della predetta spesa</w:t>
            </w:r>
            <w:r w:rsidR="00712400">
              <w:rPr>
                <w:rFonts w:ascii="Bookman Old Style" w:hAnsi="Bookman Old Style"/>
                <w:i/>
              </w:rPr>
              <w:t xml:space="preserve"> </w:t>
            </w:r>
            <w:r w:rsidR="00E91485">
              <w:rPr>
                <w:rFonts w:ascii="Bookman Old Style" w:hAnsi="Bookman Old Style"/>
                <w:i/>
              </w:rPr>
              <w:t>(</w:t>
            </w:r>
            <w:r w:rsidR="00E91485">
              <w:rPr>
                <w:rFonts w:ascii="Bookman Old Style" w:hAnsi="Bookman Old Style"/>
                <w:b/>
                <w:i/>
                <w:color w:val="000000"/>
              </w:rPr>
              <w:t>Comma 482</w:t>
            </w:r>
            <w:r w:rsidR="00E91485">
              <w:rPr>
                <w:rFonts w:ascii="Bookman Old Style" w:hAnsi="Bookman Old Style"/>
                <w:i/>
                <w:color w:val="000000"/>
              </w:rPr>
              <w:t>).</w:t>
            </w:r>
          </w:p>
        </w:tc>
      </w:tr>
      <w:tr w:rsidR="00D53E9C" w:rsidTr="006E24E5">
        <w:tc>
          <w:tcPr>
            <w:tcW w:w="7213" w:type="dxa"/>
            <w:gridSpan w:val="3"/>
          </w:tcPr>
          <w:p w:rsidR="00D53E9C" w:rsidRPr="00E847D3" w:rsidRDefault="00E5606A"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483</w:t>
            </w:r>
            <w:r w:rsidR="00D53E9C" w:rsidRPr="00E847D3">
              <w:rPr>
                <w:rFonts w:ascii="Bookman Old Style" w:eastAsia="Times New Roman" w:hAnsi="Bookman Old Style" w:cs="Arial"/>
                <w:lang w:eastAsia="it-IT"/>
              </w:rPr>
              <w:t>. Per le regioni Friuli Venezia Giulia e Trentino-Alto Adige, nonché per le province autonome di Trento e di Bolzano, non si applicano le</w:t>
            </w:r>
            <w:r>
              <w:rPr>
                <w:rFonts w:ascii="Bookman Old Style" w:eastAsia="Times New Roman" w:hAnsi="Bookman Old Style" w:cs="Arial"/>
                <w:lang w:eastAsia="it-IT"/>
              </w:rPr>
              <w:t xml:space="preserve"> disposizioni di cui ai commi 475 e 479</w:t>
            </w:r>
            <w:r w:rsidR="00D53E9C" w:rsidRPr="00E847D3">
              <w:rPr>
                <w:rFonts w:ascii="Bookman Old Style" w:eastAsia="Times New Roman" w:hAnsi="Bookman Old Style" w:cs="Arial"/>
                <w:lang w:eastAsia="it-IT"/>
              </w:rPr>
              <w:t xml:space="preserve"> del presente articolo e resta ferma la disciplina del patto di stabilità interno</w:t>
            </w:r>
            <w:r w:rsidR="00712400">
              <w:rPr>
                <w:rFonts w:ascii="Bookman Old Style" w:eastAsia="Times New Roman" w:hAnsi="Bookman Old Style" w:cs="Arial"/>
                <w:lang w:eastAsia="it-IT"/>
              </w:rPr>
              <w:t xml:space="preserve"> </w:t>
            </w:r>
            <w:r w:rsidR="00D53E9C" w:rsidRPr="00E847D3">
              <w:rPr>
                <w:rFonts w:ascii="Bookman Old Style" w:eastAsia="Times New Roman" w:hAnsi="Bookman Old Style" w:cs="Arial"/>
                <w:shd w:val="clear" w:color="auto" w:fill="FFFFFF"/>
                <w:lang w:eastAsia="it-IT"/>
              </w:rPr>
              <w:t>recata dall'articolo 1, commi 454 e seguenti, della</w:t>
            </w:r>
            <w:r w:rsidR="00D53E9C" w:rsidRPr="00CF63B8">
              <w:rPr>
                <w:rFonts w:ascii="Bookman Old Style" w:eastAsia="Times New Roman" w:hAnsi="Bookman Old Style" w:cs="Arial"/>
                <w:lang w:eastAsia="it-IT"/>
              </w:rPr>
              <w:t> </w:t>
            </w:r>
            <w:hyperlink r:id="rId89" w:tgtFrame="rifNormativi" w:history="1">
              <w:r w:rsidR="00D53E9C" w:rsidRPr="00CF63B8">
                <w:rPr>
                  <w:rFonts w:ascii="Bookman Old Style" w:eastAsia="Times New Roman" w:hAnsi="Bookman Old Style" w:cs="Arial"/>
                  <w:lang w:eastAsia="it-IT"/>
                </w:rPr>
                <w:t>legge 24 dicembre 2012, n. 228</w:t>
              </w:r>
            </w:hyperlink>
            <w:r w:rsidR="00D53E9C" w:rsidRPr="00E847D3">
              <w:rPr>
                <w:rFonts w:ascii="Bookman Old Style" w:eastAsia="Times New Roman" w:hAnsi="Bookman Old Style" w:cs="Arial"/>
                <w:shd w:val="clear" w:color="auto" w:fill="FFFFFF"/>
                <w:lang w:eastAsia="it-IT"/>
              </w:rPr>
              <w:t xml:space="preserve">, come attuata dagli accordi sottoscritti con lo Stato. Ai fini del saldo di competenza mista previsto per la regione Trentino-Alto Adige e le Province autonome di Trento e di Bolzano, è considerato il fondo pluriennale vincolato, di entrata </w:t>
            </w:r>
            <w:r w:rsidR="00D53E9C" w:rsidRPr="00E847D3">
              <w:rPr>
                <w:rFonts w:ascii="Bookman Old Style" w:eastAsia="Times New Roman" w:hAnsi="Bookman Old Style" w:cs="Arial"/>
                <w:shd w:val="clear" w:color="auto" w:fill="FFFFFF"/>
                <w:lang w:eastAsia="it-IT"/>
              </w:rPr>
              <w:lastRenderedPageBreak/>
              <w:t>e di spesa, al netto della quota rinveniente dal ricorso all'indebitamento.</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E5606A"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lastRenderedPageBreak/>
              <w:t>484</w:t>
            </w:r>
            <w:r w:rsidR="00D53E9C" w:rsidRPr="00E847D3">
              <w:rPr>
                <w:rFonts w:ascii="Bookman Old Style" w:eastAsia="Times New Roman" w:hAnsi="Bookman Old Style" w:cs="Arial"/>
                <w:shd w:val="clear" w:color="auto" w:fill="FFFFFF"/>
                <w:lang w:eastAsia="it-IT"/>
              </w:rPr>
              <w:t>. Alla regione Valle d'Aosta non si applicano le disposizioni in materia di patto di stabilità interno di cui all'articolo 1, commi 454 e seguenti, della</w:t>
            </w:r>
            <w:r w:rsidR="00D53E9C" w:rsidRPr="00CF63B8">
              <w:rPr>
                <w:rFonts w:ascii="Bookman Old Style" w:eastAsia="Times New Roman" w:hAnsi="Bookman Old Style" w:cs="Arial"/>
                <w:lang w:eastAsia="it-IT"/>
              </w:rPr>
              <w:t> </w:t>
            </w:r>
            <w:hyperlink r:id="rId90" w:tgtFrame="rifNormativi" w:history="1">
              <w:r w:rsidR="00D53E9C" w:rsidRPr="00CF63B8">
                <w:rPr>
                  <w:rFonts w:ascii="Bookman Old Style" w:eastAsia="Times New Roman" w:hAnsi="Bookman Old Style" w:cs="Arial"/>
                  <w:lang w:eastAsia="it-IT"/>
                </w:rPr>
                <w:t>legge 24 dicembre 2012, n. 228</w:t>
              </w:r>
            </w:hyperlink>
            <w:r w:rsidR="00D53E9C" w:rsidRPr="00E847D3">
              <w:rPr>
                <w:rFonts w:ascii="Bookman Old Style" w:eastAsia="Times New Roman" w:hAnsi="Bookman Old Style" w:cs="Arial"/>
                <w:shd w:val="clear" w:color="auto" w:fill="FFFFFF"/>
                <w:lang w:eastAsia="it-IT"/>
              </w:rPr>
              <w: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E5606A"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485</w:t>
            </w:r>
            <w:r w:rsidR="00D53E9C" w:rsidRPr="00E847D3">
              <w:rPr>
                <w:rFonts w:ascii="Bookman Old Style" w:eastAsia="Times New Roman" w:hAnsi="Bookman Old Style" w:cs="Arial"/>
                <w:shd w:val="clear" w:color="auto" w:fill="FFFFFF"/>
                <w:lang w:eastAsia="it-IT"/>
              </w:rPr>
              <w:t>. Al fine di favorire gli investimenti, da realizzare attraverso l'utilizzo dei risultati di amministrazione degli esercizi precedenti e il ricorso al debito, per gli anni 2017, 2018 e 2019, sono assegnati agli enti locali spazi finanziari nell'ambito dei patti nazionali, di cui all'</w:t>
            </w:r>
            <w:hyperlink r:id="rId91" w:anchor="art10-com4" w:tgtFrame="rifNormativi" w:history="1">
              <w:r w:rsidR="00D53E9C" w:rsidRPr="00CF63B8">
                <w:rPr>
                  <w:rFonts w:ascii="Bookman Old Style" w:eastAsia="Times New Roman" w:hAnsi="Bookman Old Style" w:cs="Arial"/>
                  <w:lang w:eastAsia="it-IT"/>
                </w:rPr>
                <w:t>articolo 10, comma 4, della legge 24 dicembre 2012, n. 243</w:t>
              </w:r>
            </w:hyperlink>
            <w:r w:rsidR="00D53E9C" w:rsidRPr="00E847D3">
              <w:rPr>
                <w:rFonts w:ascii="Bookman Old Style" w:eastAsia="Times New Roman" w:hAnsi="Bookman Old Style" w:cs="Arial"/>
                <w:shd w:val="clear" w:color="auto" w:fill="FFFFFF"/>
                <w:lang w:eastAsia="it-IT"/>
              </w:rPr>
              <w:t>, nel limite complessivo di 700 milioni di euro annui, di cui 300 milioni di euro destinati a interventi di edilizia scolastica.</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Il </w:t>
            </w:r>
            <w:r w:rsidRPr="00E5606A">
              <w:rPr>
                <w:rFonts w:ascii="Bookman Old Style" w:hAnsi="Bookman Old Style"/>
                <w:b/>
                <w:i/>
                <w:color w:val="000000"/>
              </w:rPr>
              <w:t>com</w:t>
            </w:r>
            <w:r w:rsidR="00E5606A" w:rsidRPr="00E5606A">
              <w:rPr>
                <w:rFonts w:ascii="Bookman Old Style" w:hAnsi="Bookman Old Style"/>
                <w:b/>
                <w:i/>
                <w:color w:val="000000"/>
              </w:rPr>
              <w:t>ma 485</w:t>
            </w:r>
            <w:r w:rsidRPr="00B0126D">
              <w:rPr>
                <w:rFonts w:ascii="Bookman Old Style" w:hAnsi="Bookman Old Style"/>
                <w:i/>
                <w:color w:val="000000"/>
              </w:rPr>
              <w:t xml:space="preserve"> introduce il regime dei </w:t>
            </w:r>
            <w:r w:rsidRPr="00B0126D">
              <w:rPr>
                <w:rFonts w:ascii="Bookman Old Style" w:hAnsi="Bookman Old Style"/>
                <w:b/>
                <w:i/>
                <w:color w:val="000000"/>
              </w:rPr>
              <w:t>patti nazionali</w:t>
            </w:r>
            <w:r w:rsidRPr="00B0126D">
              <w:rPr>
                <w:rFonts w:ascii="Bookman Old Style" w:hAnsi="Bookman Old Style"/>
                <w:i/>
                <w:color w:val="000000"/>
              </w:rPr>
              <w:t xml:space="preserve">, di cui all’art. 10 co. 4 della legge 243/2012. Nel triennio 2017-2019 sono assegnati agli enti locali </w:t>
            </w:r>
            <w:r w:rsidRPr="00B0126D">
              <w:rPr>
                <w:rFonts w:ascii="Bookman Old Style" w:hAnsi="Bookman Old Style"/>
                <w:b/>
                <w:i/>
                <w:color w:val="000000"/>
              </w:rPr>
              <w:t>spazi finanziari pari a 700 milioni annui</w:t>
            </w:r>
            <w:r w:rsidRPr="00B0126D">
              <w:rPr>
                <w:rFonts w:ascii="Bookman Old Style" w:hAnsi="Bookman Old Style"/>
                <w:i/>
                <w:color w:val="000000"/>
              </w:rPr>
              <w:t xml:space="preserve"> (di cui 300 annui per l’edilizia scolastica), </w:t>
            </w:r>
            <w:r w:rsidRPr="00B0126D">
              <w:rPr>
                <w:rFonts w:ascii="Bookman Old Style" w:hAnsi="Bookman Old Style"/>
                <w:b/>
                <w:i/>
                <w:color w:val="000000"/>
              </w:rPr>
              <w:t xml:space="preserve">a sostegno degli investimenti locali finanziati con avanzi di amministrazione </w:t>
            </w:r>
            <w:r w:rsidRPr="00B0126D">
              <w:rPr>
                <w:rFonts w:ascii="Bookman Old Style" w:eastAsia="Times New Roman" w:hAnsi="Bookman Old Style" w:cs="Arial"/>
                <w:b/>
                <w:i/>
                <w:shd w:val="clear" w:color="auto" w:fill="FFFFFF"/>
                <w:lang w:eastAsia="it-IT"/>
              </w:rPr>
              <w:t xml:space="preserve">degli esercizi precedenti </w:t>
            </w:r>
            <w:r w:rsidRPr="00B0126D">
              <w:rPr>
                <w:rFonts w:ascii="Bookman Old Style" w:hAnsi="Bookman Old Style"/>
                <w:b/>
                <w:i/>
                <w:color w:val="000000"/>
              </w:rPr>
              <w:t>e/o risorse da debito</w:t>
            </w:r>
            <w:r w:rsidRPr="00B0126D">
              <w:rPr>
                <w:rFonts w:ascii="Bookman Old Style" w:hAnsi="Bookman Old Style"/>
                <w:i/>
                <w:color w:val="000000"/>
              </w:rPr>
              <w:t>.</w:t>
            </w:r>
          </w:p>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12230E" w:rsidP="0012230E">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486</w:t>
            </w:r>
            <w:r w:rsidR="00D53E9C" w:rsidRPr="00E847D3">
              <w:rPr>
                <w:rFonts w:ascii="Bookman Old Style" w:eastAsia="Times New Roman" w:hAnsi="Bookman Old Style" w:cs="Arial"/>
                <w:shd w:val="clear" w:color="auto" w:fill="FFFFFF"/>
                <w:lang w:eastAsia="it-IT"/>
              </w:rPr>
              <w:t xml:space="preserve">. Gli enti locali non possono richiedere spazi finanziari per le finalità di investimento di cui </w:t>
            </w:r>
            <w:r>
              <w:rPr>
                <w:rFonts w:ascii="Bookman Old Style" w:eastAsia="Times New Roman" w:hAnsi="Bookman Old Style" w:cs="Arial"/>
                <w:shd w:val="clear" w:color="auto" w:fill="FFFFFF"/>
                <w:lang w:eastAsia="it-IT"/>
              </w:rPr>
              <w:t>ai commi da 463 a 508</w:t>
            </w:r>
            <w:r w:rsidR="00D53E9C" w:rsidRPr="00E847D3">
              <w:rPr>
                <w:rFonts w:ascii="Bookman Old Style" w:eastAsia="Times New Roman" w:hAnsi="Bookman Old Style" w:cs="Arial"/>
                <w:shd w:val="clear" w:color="auto" w:fill="FFFFFF"/>
                <w:lang w:eastAsia="it-IT"/>
              </w:rPr>
              <w:t>, qualora le operazioni di investimento, realizzate con il ricorso all'indebitamento e all'utilizzo dei risultati di amministrazione degli esercizi precedenti, possano essere effettuate nel rispetto del proprio saldo di cui al</w:t>
            </w:r>
            <w:r w:rsidR="00D53E9C" w:rsidRPr="00CF63B8">
              <w:rPr>
                <w:rFonts w:ascii="Bookman Old Style" w:eastAsia="Times New Roman" w:hAnsi="Bookman Old Style" w:cs="Arial"/>
                <w:lang w:eastAsia="it-IT"/>
              </w:rPr>
              <w:t> </w:t>
            </w:r>
            <w:hyperlink r:id="rId92" w:anchor="art9-com1" w:tgtFrame="rifNormativi" w:history="1">
              <w:r w:rsidR="00D53E9C" w:rsidRPr="00CF63B8">
                <w:rPr>
                  <w:rFonts w:ascii="Bookman Old Style" w:eastAsia="Times New Roman" w:hAnsi="Bookman Old Style" w:cs="Arial"/>
                  <w:lang w:eastAsia="it-IT"/>
                </w:rPr>
                <w:t>comma 1 dell'articolo 9 della legge 24 dicembre 2012, n. 243</w:t>
              </w:r>
            </w:hyperlink>
            <w:r w:rsidR="00D53E9C" w:rsidRPr="00E847D3">
              <w:rPr>
                <w:rFonts w:ascii="Bookman Old Style" w:eastAsia="Times New Roman" w:hAnsi="Bookman Old Style" w:cs="Arial"/>
                <w:shd w:val="clear" w:color="auto" w:fill="FFFFFF"/>
                <w:lang w:eastAsia="it-IT"/>
              </w:rPr>
              <w: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12230E" w:rsidP="00D53E9C">
            <w:pPr>
              <w:jc w:val="both"/>
              <w:rPr>
                <w:rFonts w:ascii="Bookman Old Style" w:hAnsi="Bookman Old Style"/>
                <w:i/>
                <w:color w:val="000000"/>
              </w:rPr>
            </w:pPr>
            <w:r>
              <w:rPr>
                <w:rFonts w:ascii="Bookman Old Style" w:hAnsi="Bookman Old Style"/>
                <w:i/>
                <w:color w:val="000000"/>
              </w:rPr>
              <w:t xml:space="preserve">Il </w:t>
            </w:r>
            <w:r w:rsidRPr="0012230E">
              <w:rPr>
                <w:rFonts w:ascii="Bookman Old Style" w:hAnsi="Bookman Old Style"/>
                <w:b/>
                <w:i/>
                <w:color w:val="000000"/>
              </w:rPr>
              <w:t>comma 486</w:t>
            </w:r>
            <w:r w:rsidR="00D53E9C" w:rsidRPr="00B0126D">
              <w:rPr>
                <w:rFonts w:ascii="Bookman Old Style" w:hAnsi="Bookman Old Style"/>
                <w:i/>
                <w:color w:val="000000"/>
              </w:rPr>
              <w:t xml:space="preserve"> precisa che tali spazi possono essere richiesti dagli enti </w:t>
            </w:r>
            <w:r w:rsidR="00D53E9C" w:rsidRPr="00B0126D">
              <w:rPr>
                <w:rFonts w:ascii="Bookman Old Style" w:hAnsi="Bookman Old Style"/>
                <w:b/>
                <w:i/>
                <w:color w:val="000000"/>
              </w:rPr>
              <w:t>solo qualora questi stessi interventi non possano essere realizzati con debito o avanzo di amministrazione degli esercizi precedenti e nel rispetto del proprio saldo</w:t>
            </w:r>
            <w:r w:rsidR="00D53E9C" w:rsidRPr="00B0126D">
              <w:rPr>
                <w:rFonts w:ascii="Bookman Old Style" w:hAnsi="Bookman Old Style"/>
                <w:i/>
                <w:color w:val="000000"/>
              </w:rPr>
              <w:t>.</w:t>
            </w:r>
          </w:p>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Si introduce un elemento responsabilizzante nei confronti degli enti locali interessati, con la finalità di utilizzare in misura ottimale gli spazi di finanza pubblica complessivamente messi a disposizione degli investimenti locali. </w:t>
            </w:r>
          </w:p>
        </w:tc>
      </w:tr>
      <w:tr w:rsidR="00D53E9C" w:rsidTr="006E24E5">
        <w:tc>
          <w:tcPr>
            <w:tcW w:w="7213" w:type="dxa"/>
            <w:gridSpan w:val="3"/>
          </w:tcPr>
          <w:p w:rsidR="00D53E9C" w:rsidRPr="00E847D3" w:rsidRDefault="0012230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487</w:t>
            </w:r>
            <w:r w:rsidR="00D53E9C" w:rsidRPr="00E847D3">
              <w:rPr>
                <w:rFonts w:ascii="Bookman Old Style" w:eastAsia="Times New Roman" w:hAnsi="Bookman Old Style" w:cs="Arial"/>
                <w:shd w:val="clear" w:color="auto" w:fill="FFFFFF"/>
                <w:lang w:eastAsia="it-IT"/>
              </w:rPr>
              <w:t>. Gli enti locali comunicano gli spazi finanziari di cui necessitano, entro il termine perentorio del 20 gennaio di ciascun anno, alla Presidenza del Consiglio dei ministri – Struttura di missione per il coordinamento e impulso nell'attuazione di interventi di riqualificazione dell'edilizia scolastica.</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12230E" w:rsidP="00D53E9C">
            <w:pPr>
              <w:jc w:val="both"/>
              <w:rPr>
                <w:rFonts w:ascii="Bookman Old Style" w:hAnsi="Bookman Old Style"/>
                <w:i/>
                <w:color w:val="000000"/>
              </w:rPr>
            </w:pPr>
            <w:r>
              <w:rPr>
                <w:rFonts w:ascii="Bookman Old Style" w:hAnsi="Bookman Old Style"/>
                <w:i/>
                <w:color w:val="000000"/>
              </w:rPr>
              <w:t xml:space="preserve">I </w:t>
            </w:r>
            <w:r w:rsidRPr="0012230E">
              <w:rPr>
                <w:rFonts w:ascii="Bookman Old Style" w:hAnsi="Bookman Old Style"/>
                <w:b/>
                <w:i/>
                <w:color w:val="000000"/>
              </w:rPr>
              <w:t>commi 487-489</w:t>
            </w:r>
            <w:r w:rsidR="00D53E9C" w:rsidRPr="00B0126D">
              <w:rPr>
                <w:rFonts w:ascii="Bookman Old Style" w:hAnsi="Bookman Old Style"/>
                <w:i/>
                <w:color w:val="000000"/>
              </w:rPr>
              <w:t xml:space="preserve"> definiscono termini e modalità per la richiesta e l’assegnazione degli spazi finanziari per l’edilizia scolastica. </w:t>
            </w:r>
          </w:p>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Gli enti locali devono fare richiesta alla </w:t>
            </w:r>
            <w:r w:rsidRPr="00B0126D">
              <w:rPr>
                <w:rFonts w:ascii="Bookman Old Style" w:eastAsia="Times New Roman" w:hAnsi="Bookman Old Style" w:cs="Arial"/>
                <w:i/>
                <w:shd w:val="clear" w:color="auto" w:fill="FFFFFF"/>
                <w:lang w:eastAsia="it-IT"/>
              </w:rPr>
              <w:t>Struttura di missione competente entro il 20 gennaio di ciascun anno. Tale termine è posticipato al 2</w:t>
            </w:r>
            <w:r w:rsidR="0012230E">
              <w:rPr>
                <w:rFonts w:ascii="Bookman Old Style" w:eastAsia="Times New Roman" w:hAnsi="Bookman Old Style" w:cs="Arial"/>
                <w:i/>
                <w:shd w:val="clear" w:color="auto" w:fill="FFFFFF"/>
                <w:lang w:eastAsia="it-IT"/>
              </w:rPr>
              <w:t>0 febbraio per il 2017 (comma 494</w:t>
            </w:r>
            <w:r w:rsidRPr="00B0126D">
              <w:rPr>
                <w:rFonts w:ascii="Bookman Old Style" w:eastAsia="Times New Roman" w:hAnsi="Bookman Old Style" w:cs="Arial"/>
                <w:i/>
                <w:shd w:val="clear" w:color="auto" w:fill="FFFFFF"/>
                <w:lang w:eastAsia="it-IT"/>
              </w:rPr>
              <w:t>).</w:t>
            </w:r>
          </w:p>
        </w:tc>
      </w:tr>
      <w:tr w:rsidR="00D53E9C" w:rsidTr="006E24E5">
        <w:tc>
          <w:tcPr>
            <w:tcW w:w="7213" w:type="dxa"/>
            <w:gridSpan w:val="3"/>
          </w:tcPr>
          <w:p w:rsidR="00D53E9C" w:rsidRDefault="0012230E"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488</w:t>
            </w:r>
            <w:r w:rsidR="00D53E9C" w:rsidRPr="00E847D3">
              <w:rPr>
                <w:rFonts w:ascii="Bookman Old Style" w:eastAsia="Times New Roman" w:hAnsi="Bookman Old Style" w:cs="Arial"/>
                <w:shd w:val="clear" w:color="auto" w:fill="FFFFFF"/>
                <w:lang w:eastAsia="it-IT"/>
              </w:rPr>
              <w:t>. La Presidenza del Consiglio dei ministri – Struttura di missione per il coordinamento e impulso nell'attuazione di interventi di riqualificazione dell'edilizia scolastica attribuisce a ciascun ente locale gli</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spazi finanziari, tenendo conto del seguente ordine prioritario:</w:t>
            </w:r>
          </w:p>
          <w:p w:rsidR="00D53E9C" w:rsidRPr="00E847D3" w:rsidRDefault="00D53E9C" w:rsidP="00D53E9C">
            <w:pPr>
              <w:shd w:val="clear" w:color="auto" w:fill="FFFFFF"/>
              <w:jc w:val="both"/>
              <w:rPr>
                <w:rFonts w:ascii="Bookman Old Style" w:eastAsia="Times New Roman" w:hAnsi="Bookman Old Style" w:cs="Times New Roman"/>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 xml:space="preserve">interventi di edilizia scolastica già avviati, a valere su risorse acquisite mediante contrazione di mutuo, e per i quali sono stati attribuiti spazi finanziari nell'anno 2016 ai sensi </w:t>
            </w:r>
            <w:r w:rsidRPr="00E847D3">
              <w:rPr>
                <w:rFonts w:ascii="Bookman Old Style" w:eastAsia="Times New Roman" w:hAnsi="Bookman Old Style" w:cs="Arial"/>
                <w:lang w:eastAsia="it-IT"/>
              </w:rPr>
              <w:lastRenderedPageBreak/>
              <w:t>del</w:t>
            </w:r>
            <w:r w:rsidRPr="00CF63B8">
              <w:rPr>
                <w:rFonts w:ascii="Bookman Old Style" w:eastAsia="Times New Roman" w:hAnsi="Bookman Old Style" w:cs="Arial"/>
                <w:lang w:eastAsia="it-IT"/>
              </w:rPr>
              <w:t> </w:t>
            </w:r>
            <w:hyperlink r:id="rId93" w:tgtFrame="rifNormativi" w:history="1">
              <w:r w:rsidRPr="00CF63B8">
                <w:rPr>
                  <w:rFonts w:ascii="Bookman Old Style" w:eastAsia="Times New Roman" w:hAnsi="Bookman Old Style" w:cs="Arial"/>
                  <w:lang w:eastAsia="it-IT"/>
                </w:rPr>
                <w:t>decreto del Presidente del Consiglio dei ministri 27 aprile 2016</w:t>
              </w:r>
            </w:hyperlink>
            <w:r w:rsidRPr="00E847D3">
              <w:rPr>
                <w:rFonts w:ascii="Bookman Old Style" w:eastAsia="Times New Roman" w:hAnsi="Bookman Old Style" w:cs="Arial"/>
                <w:lang w:eastAsia="it-IT"/>
              </w:rPr>
              <w:t>;</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interventi di nuova costruzione di edifici scolastici per i quali gli enti dispongono del progetto esecutivo redatto e validato in conformità alla vigente normativa, completo del cronoprogramma della spesa e che non abbiano pubblicato il bando alla data di entrata in vigore della presente legge;</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Pr="00E847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c)</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interventi di edilizia scolastica per i quali gli enti dispongono del progetto esecutivo redatto e validato in conformità alla vigente normativa, completo del cronoprogramma della spesa e che non abbiano pubblicato il bando di gara alla data di entrata in vigore della presente legge.</w:t>
            </w:r>
          </w:p>
        </w:tc>
        <w:tc>
          <w:tcPr>
            <w:tcW w:w="7214" w:type="dxa"/>
            <w:gridSpan w:val="2"/>
          </w:tcPr>
          <w:p w:rsidR="00D53E9C" w:rsidRPr="00B0126D" w:rsidRDefault="0012230E" w:rsidP="00D53E9C">
            <w:pPr>
              <w:jc w:val="both"/>
              <w:rPr>
                <w:rFonts w:ascii="Bookman Old Style" w:hAnsi="Bookman Old Style"/>
                <w:i/>
                <w:color w:val="000000"/>
              </w:rPr>
            </w:pPr>
            <w:r>
              <w:rPr>
                <w:rFonts w:ascii="Bookman Old Style" w:hAnsi="Bookman Old Style"/>
                <w:i/>
                <w:color w:val="000000"/>
              </w:rPr>
              <w:lastRenderedPageBreak/>
              <w:t xml:space="preserve">Il </w:t>
            </w:r>
            <w:r w:rsidRPr="0012230E">
              <w:rPr>
                <w:rFonts w:ascii="Bookman Old Style" w:hAnsi="Bookman Old Style"/>
                <w:b/>
                <w:i/>
                <w:color w:val="000000"/>
              </w:rPr>
              <w:t>comma 488</w:t>
            </w:r>
            <w:r w:rsidR="00D53E9C" w:rsidRPr="00B0126D">
              <w:rPr>
                <w:rFonts w:ascii="Bookman Old Style" w:hAnsi="Bookman Old Style"/>
                <w:i/>
                <w:color w:val="000000"/>
              </w:rPr>
              <w:t xml:space="preserve"> detta l’ordine di priorità con cui saranno assegnati gli spazi finanziari specificamente destinati all’edilizia scolastica (300 mln.):</w:t>
            </w:r>
          </w:p>
          <w:p w:rsidR="00D53E9C" w:rsidRPr="00B0126D" w:rsidRDefault="00D53E9C" w:rsidP="00D53E9C">
            <w:pPr>
              <w:pStyle w:val="Paragrafoelenco"/>
              <w:numPr>
                <w:ilvl w:val="0"/>
                <w:numId w:val="7"/>
              </w:numPr>
              <w:jc w:val="both"/>
              <w:rPr>
                <w:rFonts w:ascii="Bookman Old Style" w:hAnsi="Bookman Old Style"/>
                <w:i/>
                <w:color w:val="000000"/>
              </w:rPr>
            </w:pPr>
            <w:r w:rsidRPr="00B0126D">
              <w:rPr>
                <w:rFonts w:ascii="Bookman Old Style" w:hAnsi="Bookman Old Style"/>
                <w:i/>
                <w:color w:val="000000"/>
              </w:rPr>
              <w:t>lavori già avviati, finanziati con mutuo, per i quali sono stati attribuiti spazi finanziari nell'anno 2016;</w:t>
            </w:r>
          </w:p>
          <w:p w:rsidR="00D53E9C" w:rsidRPr="00B0126D" w:rsidRDefault="00D53E9C" w:rsidP="00D53E9C">
            <w:pPr>
              <w:pStyle w:val="Paragrafoelenco"/>
              <w:numPr>
                <w:ilvl w:val="0"/>
                <w:numId w:val="7"/>
              </w:numPr>
              <w:jc w:val="both"/>
              <w:rPr>
                <w:rFonts w:ascii="Bookman Old Style" w:hAnsi="Bookman Old Style"/>
                <w:i/>
                <w:color w:val="000000"/>
              </w:rPr>
            </w:pPr>
            <w:r w:rsidRPr="00B0126D">
              <w:rPr>
                <w:rFonts w:ascii="Bookman Old Style" w:hAnsi="Bookman Old Style"/>
                <w:i/>
                <w:color w:val="000000"/>
              </w:rPr>
              <w:t>lavori di nuova costruzione di edifici scolastici per i quali si dispone del progetto esecutivo e per i quali, tuttavia, non è ancora stato pubblicato il bando alla data di entrata in vigore della legge;</w:t>
            </w:r>
          </w:p>
          <w:p w:rsidR="00D53E9C" w:rsidRPr="00B0126D" w:rsidRDefault="00D53E9C" w:rsidP="00D53E9C">
            <w:pPr>
              <w:pStyle w:val="Paragrafoelenco"/>
              <w:numPr>
                <w:ilvl w:val="0"/>
                <w:numId w:val="7"/>
              </w:numPr>
              <w:jc w:val="both"/>
              <w:rPr>
                <w:rFonts w:ascii="Bookman Old Style" w:hAnsi="Bookman Old Style"/>
                <w:i/>
                <w:color w:val="000000"/>
              </w:rPr>
            </w:pPr>
            <w:r w:rsidRPr="00B0126D">
              <w:rPr>
                <w:rFonts w:ascii="Bookman Old Style" w:hAnsi="Bookman Old Style"/>
                <w:i/>
                <w:color w:val="000000"/>
              </w:rPr>
              <w:lastRenderedPageBreak/>
              <w:t xml:space="preserve">interventi per i quali gli enti dispongono del progetto esecutivo validato, completo del cronoprogramma e che non abbiano pubblicato il bando alla data di entrata in vigore della legge. </w:t>
            </w:r>
          </w:p>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12230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489</w:t>
            </w:r>
            <w:r w:rsidR="00D53E9C" w:rsidRPr="00E847D3">
              <w:rPr>
                <w:rFonts w:ascii="Bookman Old Style" w:eastAsia="Times New Roman" w:hAnsi="Bookman Old Style" w:cs="Arial"/>
                <w:lang w:eastAsia="it-IT"/>
              </w:rPr>
              <w:t>. La Presidenza del Consiglio dei ministri – Struttura di missione per il coordinamento e impulso nell'attuazione di interventi di riqualificazione dell'edilizia scolastica comunica, entro il termine perentorio del 5 febbraio di ciascun anno, al Ministero dell'economia e delle finanze – Dipartimento della Ragioneria generale dello Stato, gli spazi finanziari da attribuire a ciascun ente locale.</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eastAsia="Times New Roman" w:hAnsi="Bookman Old Style" w:cs="Arial"/>
                <w:i/>
                <w:shd w:val="clear" w:color="auto" w:fill="FFFFFF"/>
                <w:lang w:eastAsia="it-IT"/>
              </w:rPr>
              <w:t xml:space="preserve">La Struttura di missione competente comunica, entro il 5 febbraio di ciascun anno, </w:t>
            </w:r>
            <w:r w:rsidR="0012230E">
              <w:rPr>
                <w:rFonts w:ascii="Bookman Old Style" w:eastAsia="Times New Roman" w:hAnsi="Bookman Old Style" w:cs="Arial"/>
                <w:i/>
                <w:shd w:val="clear" w:color="auto" w:fill="FFFFFF"/>
                <w:lang w:eastAsia="it-IT"/>
              </w:rPr>
              <w:t xml:space="preserve">a norma del </w:t>
            </w:r>
            <w:r w:rsidR="0012230E" w:rsidRPr="0012230E">
              <w:rPr>
                <w:rFonts w:ascii="Bookman Old Style" w:eastAsia="Times New Roman" w:hAnsi="Bookman Old Style" w:cs="Arial"/>
                <w:b/>
                <w:i/>
                <w:shd w:val="clear" w:color="auto" w:fill="FFFFFF"/>
                <w:lang w:eastAsia="it-IT"/>
              </w:rPr>
              <w:t>comma 489</w:t>
            </w:r>
            <w:r w:rsidR="00712400">
              <w:rPr>
                <w:rFonts w:ascii="Bookman Old Style" w:eastAsia="Times New Roman" w:hAnsi="Bookman Old Style" w:cs="Arial"/>
                <w:b/>
                <w:i/>
                <w:shd w:val="clear" w:color="auto" w:fill="FFFFFF"/>
                <w:lang w:eastAsia="it-IT"/>
              </w:rPr>
              <w:t xml:space="preserve"> </w:t>
            </w:r>
            <w:r w:rsidRPr="00B0126D">
              <w:rPr>
                <w:rFonts w:ascii="Bookman Old Style" w:eastAsia="Times New Roman" w:hAnsi="Bookman Old Style" w:cs="Arial"/>
                <w:i/>
                <w:shd w:val="clear" w:color="auto" w:fill="FFFFFF"/>
                <w:lang w:eastAsia="it-IT"/>
              </w:rPr>
              <w:t xml:space="preserve">al Ministero dell’economia e delle finanze gli spazi da assegnare agli enti. Tale termine è posticipato </w:t>
            </w:r>
            <w:r w:rsidR="0012230E">
              <w:rPr>
                <w:rFonts w:ascii="Bookman Old Style" w:eastAsia="Times New Roman" w:hAnsi="Bookman Old Style" w:cs="Arial"/>
                <w:i/>
                <w:shd w:val="clear" w:color="auto" w:fill="FFFFFF"/>
                <w:lang w:eastAsia="it-IT"/>
              </w:rPr>
              <w:t>al 5 marzo per il 2017 (comma 494</w:t>
            </w:r>
            <w:r w:rsidRPr="00B0126D">
              <w:rPr>
                <w:rFonts w:ascii="Bookman Old Style" w:eastAsia="Times New Roman" w:hAnsi="Bookman Old Style" w:cs="Arial"/>
                <w:i/>
                <w:shd w:val="clear" w:color="auto" w:fill="FFFFFF"/>
                <w:lang w:eastAsia="it-IT"/>
              </w:rPr>
              <w:t>).</w:t>
            </w:r>
          </w:p>
        </w:tc>
      </w:tr>
      <w:tr w:rsidR="00D53E9C" w:rsidTr="006E24E5">
        <w:tc>
          <w:tcPr>
            <w:tcW w:w="7213" w:type="dxa"/>
            <w:gridSpan w:val="3"/>
          </w:tcPr>
          <w:p w:rsidR="00D53E9C" w:rsidRPr="00E847D3" w:rsidRDefault="00D65788"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490</w:t>
            </w:r>
            <w:r w:rsidR="00D53E9C" w:rsidRPr="00E847D3">
              <w:rPr>
                <w:rFonts w:ascii="Bookman Old Style" w:eastAsia="Times New Roman" w:hAnsi="Bookman Old Style" w:cs="Arial"/>
                <w:lang w:eastAsia="it-IT"/>
              </w:rPr>
              <w:t>. Gli enti locali comunicano gli spazi finanziari di cui necessitano per gli investimenti, entro il termine perentorio del 20 gennaio di ciascun anno, al Ministero dell'economia e delle finanze – Dipartimento della Ragioneria generale dello Stato, mediante l'applicativo</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web</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lang w:eastAsia="it-IT"/>
              </w:rPr>
              <w:t>appositamente previsto nel sito «http://pareggio bilancio.mef.gov.it».</w:t>
            </w:r>
          </w:p>
        </w:tc>
        <w:tc>
          <w:tcPr>
            <w:tcW w:w="7214" w:type="dxa"/>
            <w:gridSpan w:val="2"/>
          </w:tcPr>
          <w:p w:rsidR="00D53E9C" w:rsidRPr="00B0126D" w:rsidRDefault="00D65788" w:rsidP="00D53E9C">
            <w:pPr>
              <w:jc w:val="both"/>
              <w:rPr>
                <w:rFonts w:ascii="Bookman Old Style" w:hAnsi="Bookman Old Style"/>
                <w:i/>
                <w:color w:val="000000"/>
              </w:rPr>
            </w:pPr>
            <w:r>
              <w:rPr>
                <w:rFonts w:ascii="Bookman Old Style" w:hAnsi="Bookman Old Style"/>
                <w:i/>
                <w:color w:val="000000"/>
              </w:rPr>
              <w:t xml:space="preserve">I </w:t>
            </w:r>
            <w:r w:rsidR="00D53E9C" w:rsidRPr="00B0126D">
              <w:rPr>
                <w:rFonts w:ascii="Bookman Old Style" w:hAnsi="Bookman Old Style"/>
                <w:i/>
                <w:color w:val="000000"/>
              </w:rPr>
              <w:t>restanti 400 milioni di euro annui</w:t>
            </w:r>
            <w:r>
              <w:rPr>
                <w:rFonts w:ascii="Bookman Old Style" w:hAnsi="Bookman Old Style"/>
                <w:i/>
                <w:color w:val="000000"/>
              </w:rPr>
              <w:t xml:space="preserve">, ai sensi del </w:t>
            </w:r>
            <w:r w:rsidRPr="00D65788">
              <w:rPr>
                <w:rFonts w:ascii="Bookman Old Style" w:hAnsi="Bookman Old Style"/>
                <w:b/>
                <w:i/>
                <w:color w:val="000000"/>
              </w:rPr>
              <w:t>comma 490</w:t>
            </w:r>
            <w:r>
              <w:rPr>
                <w:rFonts w:ascii="Bookman Old Style" w:hAnsi="Bookman Old Style"/>
                <w:i/>
                <w:color w:val="000000"/>
              </w:rPr>
              <w:t>,</w:t>
            </w:r>
            <w:r w:rsidR="00D53E9C" w:rsidRPr="00B0126D">
              <w:rPr>
                <w:rFonts w:ascii="Bookman Old Style" w:hAnsi="Bookman Old Style"/>
                <w:i/>
                <w:color w:val="000000"/>
              </w:rPr>
              <w:t xml:space="preserve"> devono essere richiesti al Ministero dell’economia e delle finanze attraverso la pagina web dedicata al pareggio di bilancio e nel rispetto della medesima tempistica prevista per l’edilizia scolastica. Pertanto, le richieste vanno presentate entro il 20 gennaio di ciascun anno; per il 2017 tale termine è post</w:t>
            </w:r>
            <w:r>
              <w:rPr>
                <w:rFonts w:ascii="Bookman Old Style" w:hAnsi="Bookman Old Style"/>
                <w:i/>
                <w:color w:val="000000"/>
              </w:rPr>
              <w:t>icipato al 20 febbraio (comma 494</w:t>
            </w:r>
            <w:r w:rsidR="00D53E9C" w:rsidRPr="00B0126D">
              <w:rPr>
                <w:rFonts w:ascii="Bookman Old Style" w:hAnsi="Bookman Old Style"/>
                <w:i/>
                <w:color w:val="000000"/>
              </w:rPr>
              <w:t xml:space="preserve">). </w:t>
            </w:r>
          </w:p>
        </w:tc>
      </w:tr>
      <w:tr w:rsidR="00D53E9C" w:rsidTr="006E24E5">
        <w:tc>
          <w:tcPr>
            <w:tcW w:w="7213" w:type="dxa"/>
            <w:gridSpan w:val="3"/>
          </w:tcPr>
          <w:p w:rsidR="00D53E9C" w:rsidRDefault="001D2A07"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491</w:t>
            </w:r>
            <w:r w:rsidR="00D53E9C" w:rsidRPr="00E847D3">
              <w:rPr>
                <w:rFonts w:ascii="Bookman Old Style" w:eastAsia="Times New Roman" w:hAnsi="Bookman Old Style" w:cs="Arial"/>
                <w:lang w:eastAsia="it-IT"/>
              </w:rPr>
              <w:t>. Le richieste di spa</w:t>
            </w:r>
            <w:r>
              <w:rPr>
                <w:rFonts w:ascii="Bookman Old Style" w:eastAsia="Times New Roman" w:hAnsi="Bookman Old Style" w:cs="Arial"/>
                <w:lang w:eastAsia="it-IT"/>
              </w:rPr>
              <w:t>zi finanziari di cui al comma 490</w:t>
            </w:r>
            <w:r w:rsidR="00D53E9C" w:rsidRPr="00E847D3">
              <w:rPr>
                <w:rFonts w:ascii="Bookman Old Style" w:eastAsia="Times New Roman" w:hAnsi="Bookman Old Style" w:cs="Arial"/>
                <w:lang w:eastAsia="it-IT"/>
              </w:rPr>
              <w:t xml:space="preserve">, per la quota non riferita agli interventi di edilizia </w:t>
            </w:r>
            <w:r>
              <w:rPr>
                <w:rFonts w:ascii="Bookman Old Style" w:eastAsia="Times New Roman" w:hAnsi="Bookman Old Style" w:cs="Arial"/>
                <w:lang w:eastAsia="it-IT"/>
              </w:rPr>
              <w:t>scolastica di cui ai commi da 487 a 489</w:t>
            </w:r>
            <w:r w:rsidR="00D53E9C" w:rsidRPr="00E847D3">
              <w:rPr>
                <w:rFonts w:ascii="Bookman Old Style" w:eastAsia="Times New Roman" w:hAnsi="Bookman Old Style" w:cs="Arial"/>
                <w:lang w:eastAsia="it-IT"/>
              </w:rPr>
              <w:t>, sono completi delle informazioni relative:</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fondo di cassa al 31 dicembre dell'anno precedente;</w:t>
            </w:r>
          </w:p>
          <w:p w:rsidR="00D53E9C" w:rsidRPr="00E847D3" w:rsidRDefault="00D53E9C" w:rsidP="00D53E9C">
            <w:pPr>
              <w:shd w:val="clear" w:color="auto" w:fill="FFFFFF"/>
              <w:jc w:val="both"/>
              <w:rPr>
                <w:rFonts w:ascii="Bookman Old Style" w:eastAsia="Times New Roman" w:hAnsi="Bookman Old Style" w:cs="Arial"/>
                <w:lang w:eastAsia="it-IT"/>
              </w:rPr>
            </w:pPr>
          </w:p>
          <w:p w:rsidR="00D53E9C" w:rsidRPr="00E847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 xml:space="preserve">all'avanzo di amministrazione, al netto della quota accantonata del Fondo crediti di dubbia esigibilità, risultante dal </w:t>
            </w:r>
            <w:r w:rsidRPr="00E847D3">
              <w:rPr>
                <w:rFonts w:ascii="Bookman Old Style" w:eastAsia="Times New Roman" w:hAnsi="Bookman Old Style" w:cs="Arial"/>
                <w:lang w:eastAsia="it-IT"/>
              </w:rPr>
              <w:lastRenderedPageBreak/>
              <w:t>rendiconto o dal pre consuntivo dell'anno precedente.</w:t>
            </w:r>
          </w:p>
        </w:tc>
        <w:tc>
          <w:tcPr>
            <w:tcW w:w="7214" w:type="dxa"/>
            <w:gridSpan w:val="2"/>
          </w:tcPr>
          <w:p w:rsidR="00D53E9C" w:rsidRPr="00B0126D" w:rsidRDefault="00D53E9C" w:rsidP="00712400">
            <w:pPr>
              <w:jc w:val="both"/>
              <w:rPr>
                <w:rFonts w:ascii="Bookman Old Style" w:hAnsi="Bookman Old Style"/>
                <w:i/>
                <w:color w:val="000000"/>
              </w:rPr>
            </w:pPr>
            <w:r w:rsidRPr="00B0126D">
              <w:rPr>
                <w:rFonts w:ascii="Bookman Old Style" w:hAnsi="Bookman Old Style"/>
                <w:i/>
                <w:color w:val="000000"/>
              </w:rPr>
              <w:lastRenderedPageBreak/>
              <w:t>La richiesta di spazi al Ministero dell’economia e delle finanze deve essere accompagnata da apposite informazioni relative al fondo di cassa riferito al 31 dicembre dell’anno precedente e all’avanzo di amministrazione, al netto della quota accantonata a FCDE, risultante dall’ultimo rendiconto,</w:t>
            </w:r>
            <w:r w:rsidR="00712400">
              <w:rPr>
                <w:rFonts w:ascii="Bookman Old Style" w:hAnsi="Bookman Old Style"/>
                <w:i/>
                <w:color w:val="000000"/>
              </w:rPr>
              <w:t xml:space="preserve"> </w:t>
            </w:r>
            <w:r w:rsidRPr="00B0126D">
              <w:rPr>
                <w:rFonts w:ascii="Bookman Old Style" w:hAnsi="Bookman Old Style"/>
                <w:i/>
                <w:color w:val="000000"/>
              </w:rPr>
              <w:t xml:space="preserve">per le eventuali finalità </w:t>
            </w:r>
            <w:r w:rsidR="001D2A07">
              <w:rPr>
                <w:rFonts w:ascii="Bookman Old Style" w:hAnsi="Bookman Old Style"/>
                <w:i/>
                <w:color w:val="000000"/>
              </w:rPr>
              <w:t xml:space="preserve">redistributive di cui al </w:t>
            </w:r>
            <w:r w:rsidR="001D2A07" w:rsidRPr="00B13147">
              <w:rPr>
                <w:rFonts w:ascii="Bookman Old Style" w:hAnsi="Bookman Old Style"/>
                <w:i/>
                <w:color w:val="000000"/>
              </w:rPr>
              <w:t>comma 493</w:t>
            </w:r>
            <w:r w:rsidR="00712400" w:rsidRPr="00B13147">
              <w:rPr>
                <w:rFonts w:ascii="Bookman Old Style" w:hAnsi="Bookman Old Style"/>
                <w:i/>
                <w:color w:val="000000"/>
              </w:rPr>
              <w:t xml:space="preserve"> </w:t>
            </w:r>
            <w:r w:rsidR="001D2A07">
              <w:rPr>
                <w:rFonts w:ascii="Bookman Old Style" w:hAnsi="Bookman Old Style"/>
                <w:i/>
                <w:color w:val="000000"/>
              </w:rPr>
              <w:t>(</w:t>
            </w:r>
            <w:r w:rsidR="001D2A07" w:rsidRPr="001D2A07">
              <w:rPr>
                <w:rFonts w:ascii="Bookman Old Style" w:hAnsi="Bookman Old Style"/>
                <w:b/>
                <w:i/>
                <w:color w:val="000000"/>
              </w:rPr>
              <w:t>Comma 491</w:t>
            </w:r>
            <w:r w:rsidR="001D2A07">
              <w:rPr>
                <w:rFonts w:ascii="Bookman Old Style" w:hAnsi="Bookman Old Style"/>
                <w:i/>
                <w:color w:val="000000"/>
              </w:rPr>
              <w:t>)</w:t>
            </w:r>
          </w:p>
        </w:tc>
      </w:tr>
      <w:tr w:rsidR="00D53E9C" w:rsidTr="006E24E5">
        <w:tc>
          <w:tcPr>
            <w:tcW w:w="7213" w:type="dxa"/>
            <w:gridSpan w:val="3"/>
          </w:tcPr>
          <w:p w:rsidR="00D53E9C" w:rsidRDefault="009B2E9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492</w:t>
            </w:r>
            <w:r w:rsidR="00D53E9C" w:rsidRPr="00E847D3">
              <w:rPr>
                <w:rFonts w:ascii="Bookman Old Style" w:eastAsia="Times New Roman" w:hAnsi="Bookman Old Style" w:cs="Arial"/>
                <w:lang w:eastAsia="it-IT"/>
              </w:rPr>
              <w:t>. L'ammontare dello spazio finanziario attribuito a ciascun ente locale è determinato, entro il 15 febbraio di ciascun anno, con decreto del Ministero dell'economia e delle finanze – Dipartimento della Ragioneria generale dello Stato, tenendo conto del seguente ordine prioritario:</w:t>
            </w:r>
          </w:p>
          <w:p w:rsidR="00D53E9C" w:rsidRPr="00E847D3" w:rsidRDefault="00D53E9C" w:rsidP="00D53E9C">
            <w:pPr>
              <w:shd w:val="clear" w:color="auto" w:fill="FFFFFF"/>
              <w:jc w:val="both"/>
              <w:rPr>
                <w:rFonts w:ascii="Bookman Old Style" w:eastAsia="Times New Roman" w:hAnsi="Bookman Old Style" w:cs="Arial"/>
                <w:lang w:eastAsia="it-IT"/>
              </w:rPr>
            </w:pPr>
          </w:p>
          <w:p w:rsidR="0076026C" w:rsidRPr="0076026C" w:rsidRDefault="00D53E9C" w:rsidP="0076026C">
            <w:pPr>
              <w:shd w:val="clear" w:color="auto" w:fill="FFFFFF"/>
              <w:jc w:val="both"/>
              <w:rPr>
                <w:rFonts w:ascii="Bookman Old Style" w:eastAsia="Times New Roman" w:hAnsi="Bookman Old Style" w:cs="Arial"/>
                <w:b/>
                <w:lang w:eastAsia="it-IT"/>
              </w:rPr>
            </w:pPr>
            <w:r w:rsidRPr="00E847D3">
              <w:rPr>
                <w:rFonts w:ascii="Bookman Old Style" w:eastAsia="Times New Roman" w:hAnsi="Bookman Old Style" w:cs="Arial"/>
                <w:lang w:eastAsia="it-IT"/>
              </w:rPr>
              <w:t>    </w:t>
            </w:r>
            <w:r w:rsidR="0076026C" w:rsidRPr="0076026C">
              <w:rPr>
                <w:rFonts w:ascii="Bookman Old Style" w:eastAsia="Times New Roman" w:hAnsi="Bookman Old Style" w:cs="Arial"/>
                <w:b/>
                <w:lang w:eastAsia="it-IT"/>
              </w:rPr>
              <w:t>a) investimenti finanziati con avanzo di amministrazione o mediante operazioni di indebitamento:</w:t>
            </w:r>
          </w:p>
          <w:p w:rsidR="0076026C" w:rsidRPr="0076026C" w:rsidRDefault="0076026C" w:rsidP="0076026C">
            <w:pPr>
              <w:shd w:val="clear" w:color="auto" w:fill="FFFFFF"/>
              <w:jc w:val="both"/>
              <w:rPr>
                <w:rFonts w:ascii="Bookman Old Style" w:eastAsia="Times New Roman" w:hAnsi="Bookman Old Style" w:cs="Arial"/>
                <w:b/>
                <w:lang w:eastAsia="it-IT"/>
              </w:rPr>
            </w:pPr>
            <w:r w:rsidRPr="0076026C">
              <w:rPr>
                <w:rFonts w:ascii="Bookman Old Style" w:eastAsia="Times New Roman" w:hAnsi="Bookman Old Style" w:cs="Arial"/>
                <w:b/>
                <w:lang w:eastAsia="it-IT"/>
              </w:rPr>
              <w:t>1) dei comuni istituiti, nel quinquennio precedente all’anno di riferimento, a seguito dei processi di fusione previsti dalla legislazione vigente; per ciascun esercizio del triennio 2017-2019, sono considerati esclusivamente i comuni per i quali i processi di fusione si sono conclusi entro il 1° gennaio dell’esercizio di riferimento;</w:t>
            </w:r>
          </w:p>
          <w:p w:rsidR="0076026C" w:rsidRPr="0076026C" w:rsidRDefault="0076026C" w:rsidP="0076026C">
            <w:pPr>
              <w:shd w:val="clear" w:color="auto" w:fill="FFFFFF"/>
              <w:jc w:val="both"/>
              <w:rPr>
                <w:rFonts w:ascii="Bookman Old Style" w:eastAsia="Times New Roman" w:hAnsi="Bookman Old Style" w:cs="Arial"/>
                <w:b/>
                <w:lang w:eastAsia="it-IT"/>
              </w:rPr>
            </w:pPr>
            <w:r w:rsidRPr="0076026C">
              <w:rPr>
                <w:rFonts w:ascii="Bookman Old Style" w:eastAsia="Times New Roman" w:hAnsi="Bookman Old Style" w:cs="Arial"/>
                <w:b/>
                <w:lang w:eastAsia="it-IT"/>
              </w:rPr>
              <w:t>2) dei comuni con popolazione inferiore a 1.000 abitanti, per i quali gli enti dispongono di progetti esecutivi redatti e validati in conformità alla vigente normativa, com</w:t>
            </w:r>
            <w:r w:rsidR="00712400">
              <w:rPr>
                <w:rFonts w:ascii="Bookman Old Style" w:eastAsia="Times New Roman" w:hAnsi="Bookman Old Style" w:cs="Arial"/>
                <w:b/>
                <w:lang w:eastAsia="it-IT"/>
              </w:rPr>
              <w:t xml:space="preserve">pleti del cronoprogramma della </w:t>
            </w:r>
            <w:r w:rsidRPr="0076026C">
              <w:rPr>
                <w:rFonts w:ascii="Bookman Old Style" w:eastAsia="Times New Roman" w:hAnsi="Bookman Old Style" w:cs="Arial"/>
                <w:b/>
                <w:lang w:eastAsia="it-IT"/>
              </w:rPr>
              <w:t>spesa;</w:t>
            </w:r>
          </w:p>
          <w:p w:rsidR="0076026C" w:rsidRPr="0076026C" w:rsidRDefault="0076026C" w:rsidP="0076026C">
            <w:pPr>
              <w:shd w:val="clear" w:color="auto" w:fill="FFFFFF"/>
              <w:jc w:val="both"/>
              <w:rPr>
                <w:rFonts w:ascii="Bookman Old Style" w:eastAsia="Times New Roman" w:hAnsi="Bookman Old Style" w:cs="Arial"/>
                <w:lang w:eastAsia="it-IT"/>
              </w:rPr>
            </w:pPr>
          </w:p>
          <w:p w:rsidR="0076026C" w:rsidRDefault="0076026C" w:rsidP="0076026C">
            <w:pPr>
              <w:shd w:val="clear" w:color="auto" w:fill="FFFFFF"/>
              <w:jc w:val="both"/>
              <w:rPr>
                <w:rFonts w:ascii="Bookman Old Style" w:eastAsia="Times New Roman" w:hAnsi="Bookman Old Style" w:cs="Arial"/>
                <w:lang w:eastAsia="it-IT"/>
              </w:rPr>
            </w:pPr>
            <w:r w:rsidRPr="0076026C">
              <w:rPr>
                <w:rFonts w:ascii="Bookman Old Style" w:eastAsia="Times New Roman" w:hAnsi="Bookman Old Style" w:cs="Arial"/>
                <w:lang w:eastAsia="it-IT"/>
              </w:rPr>
              <w:t>b) interv</w:t>
            </w:r>
            <w:r>
              <w:rPr>
                <w:rFonts w:ascii="Bookman Old Style" w:eastAsia="Times New Roman" w:hAnsi="Bookman Old Style" w:cs="Arial"/>
                <w:lang w:eastAsia="it-IT"/>
              </w:rPr>
              <w:t xml:space="preserve">enti di edilizia scolastica non </w:t>
            </w:r>
            <w:r w:rsidRPr="0076026C">
              <w:rPr>
                <w:rFonts w:ascii="Bookman Old Style" w:eastAsia="Times New Roman" w:hAnsi="Bookman Old Style" w:cs="Arial"/>
                <w:lang w:eastAsia="it-IT"/>
              </w:rPr>
              <w:t>soddisfatti dag</w:t>
            </w:r>
            <w:r>
              <w:rPr>
                <w:rFonts w:ascii="Bookman Old Style" w:eastAsia="Times New Roman" w:hAnsi="Bookman Old Style" w:cs="Arial"/>
                <w:lang w:eastAsia="it-IT"/>
              </w:rPr>
              <w:t>li spazi finanziari concessi ai s</w:t>
            </w:r>
            <w:r w:rsidRPr="0076026C">
              <w:rPr>
                <w:rFonts w:ascii="Bookman Old Style" w:eastAsia="Times New Roman" w:hAnsi="Bookman Old Style" w:cs="Arial"/>
                <w:lang w:eastAsia="it-IT"/>
              </w:rPr>
              <w:t>ensi dei commi da 487 a 489;</w:t>
            </w:r>
          </w:p>
          <w:p w:rsidR="0076026C" w:rsidRPr="0076026C" w:rsidRDefault="0076026C" w:rsidP="0076026C">
            <w:pPr>
              <w:shd w:val="clear" w:color="auto" w:fill="FFFFFF"/>
              <w:jc w:val="both"/>
              <w:rPr>
                <w:rFonts w:ascii="Bookman Old Style" w:eastAsia="Times New Roman" w:hAnsi="Bookman Old Style" w:cs="Arial"/>
                <w:lang w:eastAsia="it-IT"/>
              </w:rPr>
            </w:pPr>
          </w:p>
          <w:p w:rsidR="0076026C" w:rsidRDefault="0076026C" w:rsidP="0076026C">
            <w:pPr>
              <w:shd w:val="clear" w:color="auto" w:fill="FFFFFF"/>
              <w:jc w:val="both"/>
              <w:rPr>
                <w:rFonts w:ascii="Bookman Old Style" w:eastAsia="Times New Roman" w:hAnsi="Bookman Old Style" w:cs="Arial"/>
                <w:lang w:eastAsia="it-IT"/>
              </w:rPr>
            </w:pPr>
            <w:r w:rsidRPr="0076026C">
              <w:rPr>
                <w:rFonts w:ascii="Bookman Old Style" w:eastAsia="Times New Roman" w:hAnsi="Bookman Old Style" w:cs="Arial"/>
                <w:lang w:eastAsia="it-IT"/>
              </w:rPr>
              <w:t>c) identica;</w:t>
            </w:r>
          </w:p>
          <w:p w:rsidR="0076026C" w:rsidRDefault="0076026C" w:rsidP="0076026C">
            <w:pPr>
              <w:shd w:val="clear" w:color="auto" w:fill="FFFFFF"/>
              <w:jc w:val="both"/>
              <w:rPr>
                <w:rFonts w:ascii="Bookman Old Style" w:eastAsia="Times New Roman" w:hAnsi="Bookman Old Style" w:cs="Arial"/>
                <w:lang w:eastAsia="it-IT"/>
              </w:rPr>
            </w:pPr>
          </w:p>
          <w:p w:rsidR="00D53E9C" w:rsidRPr="00E847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0076026C" w:rsidRPr="0076026C">
              <w:rPr>
                <w:rFonts w:ascii="Bookman Old Style" w:eastAsia="Times New Roman" w:hAnsi="Bookman Old Style" w:cs="Arial"/>
                <w:lang w:eastAsia="it-IT"/>
              </w:rPr>
              <w:t>d) investimen</w:t>
            </w:r>
            <w:r w:rsidR="0076026C">
              <w:rPr>
                <w:rFonts w:ascii="Bookman Old Style" w:eastAsia="Times New Roman" w:hAnsi="Bookman Old Style" w:cs="Arial"/>
                <w:lang w:eastAsia="it-IT"/>
              </w:rPr>
              <w:t xml:space="preserve">ti finalizzati alla prevenzione </w:t>
            </w:r>
            <w:r w:rsidR="0076026C" w:rsidRPr="0076026C">
              <w:rPr>
                <w:rFonts w:ascii="Bookman Old Style" w:eastAsia="Times New Roman" w:hAnsi="Bookman Old Style" w:cs="Arial"/>
                <w:lang w:eastAsia="it-IT"/>
              </w:rPr>
              <w:t>del ris</w:t>
            </w:r>
            <w:r w:rsidR="0076026C">
              <w:rPr>
                <w:rFonts w:ascii="Bookman Old Style" w:eastAsia="Times New Roman" w:hAnsi="Bookman Old Style" w:cs="Arial"/>
                <w:lang w:eastAsia="it-IT"/>
              </w:rPr>
              <w:t xml:space="preserve">chio idrogeologico </w:t>
            </w:r>
            <w:r w:rsidR="0076026C" w:rsidRPr="0076026C">
              <w:rPr>
                <w:rFonts w:ascii="Bookman Old Style" w:eastAsia="Times New Roman" w:hAnsi="Bookman Old Style" w:cs="Arial"/>
                <w:b/>
                <w:lang w:eastAsia="it-IT"/>
              </w:rPr>
              <w:t>e alla messa in sicurezza e alla bonifica di siti inquinati ad alto rischio ambientale, individuati come prioritari per il loro rilevante impatto sanitario</w:t>
            </w:r>
            <w:r w:rsidR="0076026C">
              <w:rPr>
                <w:rFonts w:ascii="Bookman Old Style" w:eastAsia="Times New Roman" w:hAnsi="Bookman Old Style" w:cs="Arial"/>
                <w:lang w:eastAsia="it-IT"/>
              </w:rPr>
              <w:t xml:space="preserve">, finanziati con avanzo di </w:t>
            </w:r>
            <w:r w:rsidR="0076026C" w:rsidRPr="0076026C">
              <w:rPr>
                <w:rFonts w:ascii="Bookman Old Style" w:eastAsia="Times New Roman" w:hAnsi="Bookman Old Style" w:cs="Arial"/>
                <w:lang w:eastAsia="it-IT"/>
              </w:rPr>
              <w:t xml:space="preserve">amministrazione, </w:t>
            </w:r>
            <w:r w:rsidR="0076026C">
              <w:rPr>
                <w:rFonts w:ascii="Bookman Old Style" w:eastAsia="Times New Roman" w:hAnsi="Bookman Old Style" w:cs="Arial"/>
                <w:lang w:eastAsia="it-IT"/>
              </w:rPr>
              <w:t xml:space="preserve">per i quali gli enti dispongono </w:t>
            </w:r>
            <w:r w:rsidR="0076026C" w:rsidRPr="0076026C">
              <w:rPr>
                <w:rFonts w:ascii="Bookman Old Style" w:eastAsia="Times New Roman" w:hAnsi="Bookman Old Style" w:cs="Arial"/>
                <w:lang w:eastAsia="it-IT"/>
              </w:rPr>
              <w:t>d</w:t>
            </w:r>
            <w:r w:rsidR="0076026C">
              <w:rPr>
                <w:rFonts w:ascii="Bookman Old Style" w:eastAsia="Times New Roman" w:hAnsi="Bookman Old Style" w:cs="Arial"/>
                <w:lang w:eastAsia="it-IT"/>
              </w:rPr>
              <w:t xml:space="preserve">el progetto esecutivo redatto e </w:t>
            </w:r>
            <w:r w:rsidR="0076026C" w:rsidRPr="0076026C">
              <w:rPr>
                <w:rFonts w:ascii="Bookman Old Style" w:eastAsia="Times New Roman" w:hAnsi="Bookman Old Style" w:cs="Arial"/>
                <w:lang w:eastAsia="it-IT"/>
              </w:rPr>
              <w:t>validato in conformità alla</w:t>
            </w:r>
            <w:r w:rsidR="0076026C">
              <w:rPr>
                <w:rFonts w:ascii="Bookman Old Style" w:eastAsia="Times New Roman" w:hAnsi="Bookman Old Style" w:cs="Arial"/>
                <w:lang w:eastAsia="it-IT"/>
              </w:rPr>
              <w:t xml:space="preserve"> vigente normativa, </w:t>
            </w:r>
            <w:r w:rsidR="0076026C" w:rsidRPr="0076026C">
              <w:rPr>
                <w:rFonts w:ascii="Bookman Old Style" w:eastAsia="Times New Roman" w:hAnsi="Bookman Old Style" w:cs="Arial"/>
                <w:lang w:eastAsia="it-IT"/>
              </w:rPr>
              <w:t>co</w:t>
            </w:r>
            <w:r w:rsidR="0076026C">
              <w:rPr>
                <w:rFonts w:ascii="Bookman Old Style" w:eastAsia="Times New Roman" w:hAnsi="Bookman Old Style" w:cs="Arial"/>
                <w:lang w:eastAsia="it-IT"/>
              </w:rPr>
              <w:t xml:space="preserve">mpleto del cronoprogramma della </w:t>
            </w:r>
            <w:r w:rsidR="0076026C" w:rsidRPr="0076026C">
              <w:rPr>
                <w:rFonts w:ascii="Bookman Old Style" w:eastAsia="Times New Roman" w:hAnsi="Bookman Old Style" w:cs="Arial"/>
                <w:lang w:eastAsia="it-IT"/>
              </w:rPr>
              <w:t>spesa.</w:t>
            </w:r>
            <w:r w:rsidRPr="00E847D3">
              <w:rPr>
                <w:rFonts w:ascii="Bookman Old Style" w:eastAsia="Times New Roman" w:hAnsi="Bookman Old Style" w:cs="Arial"/>
                <w:lang w:eastAsia="it-IT"/>
              </w:rPr>
              <w:t> </w:t>
            </w:r>
          </w:p>
        </w:tc>
        <w:tc>
          <w:tcPr>
            <w:tcW w:w="7214" w:type="dxa"/>
            <w:gridSpan w:val="2"/>
          </w:tcPr>
          <w:p w:rsidR="00D53E9C" w:rsidRPr="00B0126D" w:rsidRDefault="0076026C" w:rsidP="00D53E9C">
            <w:pPr>
              <w:jc w:val="both"/>
              <w:rPr>
                <w:rFonts w:ascii="Bookman Old Style" w:hAnsi="Bookman Old Style"/>
                <w:i/>
                <w:color w:val="000000"/>
              </w:rPr>
            </w:pPr>
            <w:r>
              <w:rPr>
                <w:rFonts w:ascii="Bookman Old Style" w:hAnsi="Bookman Old Style"/>
                <w:i/>
                <w:color w:val="000000"/>
              </w:rPr>
              <w:t xml:space="preserve">Anche il </w:t>
            </w:r>
            <w:r w:rsidR="00D53E9C" w:rsidRPr="00B0126D">
              <w:rPr>
                <w:rFonts w:ascii="Bookman Old Style" w:hAnsi="Bookman Old Style"/>
                <w:i/>
                <w:color w:val="000000"/>
              </w:rPr>
              <w:t>plafond di spazi finanziari</w:t>
            </w:r>
            <w:r>
              <w:rPr>
                <w:rFonts w:ascii="Bookman Old Style" w:hAnsi="Bookman Old Style"/>
                <w:i/>
                <w:color w:val="000000"/>
              </w:rPr>
              <w:t xml:space="preserve"> di cui al </w:t>
            </w:r>
            <w:r w:rsidRPr="0076026C">
              <w:rPr>
                <w:rFonts w:ascii="Bookman Old Style" w:hAnsi="Bookman Old Style"/>
                <w:b/>
                <w:i/>
                <w:color w:val="000000"/>
              </w:rPr>
              <w:t>comma 49</w:t>
            </w:r>
            <w:r w:rsidR="00712400">
              <w:rPr>
                <w:rFonts w:ascii="Bookman Old Style" w:hAnsi="Bookman Old Style"/>
                <w:b/>
                <w:i/>
                <w:color w:val="000000"/>
              </w:rPr>
              <w:t>0</w:t>
            </w:r>
            <w:r w:rsidR="00D53E9C" w:rsidRPr="00B0126D">
              <w:rPr>
                <w:rFonts w:ascii="Bookman Old Style" w:hAnsi="Bookman Old Style"/>
                <w:i/>
                <w:color w:val="000000"/>
              </w:rPr>
              <w:t xml:space="preserve"> è assegnato secondo un preciso ordine prioritario: </w:t>
            </w:r>
          </w:p>
          <w:p w:rsidR="00481472" w:rsidRDefault="00712400" w:rsidP="00D53E9C">
            <w:pPr>
              <w:pStyle w:val="Paragrafoelenco"/>
              <w:numPr>
                <w:ilvl w:val="0"/>
                <w:numId w:val="8"/>
              </w:numPr>
              <w:tabs>
                <w:tab w:val="num" w:pos="403"/>
              </w:tabs>
              <w:ind w:left="403" w:hanging="403"/>
              <w:jc w:val="both"/>
              <w:rPr>
                <w:rFonts w:ascii="Bookman Old Style" w:hAnsi="Bookman Old Style"/>
                <w:i/>
                <w:color w:val="000000"/>
              </w:rPr>
            </w:pPr>
            <w:r>
              <w:rPr>
                <w:rFonts w:ascii="Bookman Old Style" w:hAnsi="Bookman Old Style"/>
                <w:i/>
                <w:color w:val="000000"/>
              </w:rPr>
              <w:t xml:space="preserve">investimenti </w:t>
            </w:r>
            <w:r w:rsidRPr="00712400">
              <w:rPr>
                <w:rFonts w:ascii="Bookman Old Style" w:hAnsi="Bookman Old Style"/>
                <w:i/>
                <w:color w:val="000000"/>
              </w:rPr>
              <w:t>finanziati con avanzo di amministrazione o mediante operazioni di indebitamento</w:t>
            </w:r>
            <w:r>
              <w:rPr>
                <w:rFonts w:ascii="Bookman Old Style" w:hAnsi="Bookman Old Style"/>
                <w:i/>
                <w:color w:val="000000"/>
              </w:rPr>
              <w:t xml:space="preserve"> di </w:t>
            </w:r>
            <w:r w:rsidRPr="00233EC0">
              <w:rPr>
                <w:rFonts w:ascii="Bookman Old Style" w:hAnsi="Bookman Old Style"/>
                <w:b/>
                <w:i/>
                <w:color w:val="000000"/>
              </w:rPr>
              <w:t>comuni istituiti a seguito di fusione nel quinquennio precedente</w:t>
            </w:r>
            <w:r>
              <w:rPr>
                <w:rFonts w:ascii="Bookman Old Style" w:hAnsi="Bookman Old Style"/>
                <w:i/>
                <w:color w:val="000000"/>
              </w:rPr>
              <w:t xml:space="preserve">, conclusosi entro il primo gennaio dell’esercizio di riferimento, </w:t>
            </w:r>
            <w:r w:rsidRPr="00233EC0">
              <w:rPr>
                <w:rFonts w:ascii="Bookman Old Style" w:hAnsi="Bookman Old Style"/>
                <w:b/>
                <w:i/>
                <w:color w:val="000000"/>
              </w:rPr>
              <w:t>nonché dei comuni con meno di 1000 abitanti</w:t>
            </w:r>
            <w:r>
              <w:rPr>
                <w:rFonts w:ascii="Bookman Old Style" w:hAnsi="Bookman Old Style"/>
                <w:i/>
                <w:color w:val="000000"/>
              </w:rPr>
              <w:t xml:space="preserve"> per i quali gli enti dispongono di progetti esecutivi, corredati del cronoprogramma della spes</w:t>
            </w:r>
            <w:r w:rsidR="00233EC0">
              <w:rPr>
                <w:rFonts w:ascii="Bookman Old Style" w:hAnsi="Bookman Old Style"/>
                <w:i/>
                <w:color w:val="000000"/>
              </w:rPr>
              <w:t xml:space="preserve">a. La prima priorità di assegnazione degli spazi finanziari </w:t>
            </w:r>
            <w:r w:rsidR="00481472" w:rsidRPr="00A74859">
              <w:rPr>
                <w:rFonts w:ascii="Bookman Old Style" w:eastAsiaTheme="majorEastAsia" w:hAnsi="Bookman Old Style" w:cstheme="majorBidi"/>
                <w:bCs/>
                <w:i/>
              </w:rPr>
              <w:t xml:space="preserve">mira a neutralizzare gli effetti negativi sui bilanci degli enti </w:t>
            </w:r>
            <w:r w:rsidR="00481472">
              <w:rPr>
                <w:rFonts w:ascii="Bookman Old Style" w:eastAsiaTheme="majorEastAsia" w:hAnsi="Bookman Old Style" w:cstheme="majorBidi"/>
                <w:bCs/>
                <w:i/>
              </w:rPr>
              <w:t xml:space="preserve">che, </w:t>
            </w:r>
            <w:r w:rsidR="00481472" w:rsidRPr="00A74859">
              <w:rPr>
                <w:rFonts w:ascii="Bookman Old Style" w:eastAsiaTheme="majorEastAsia" w:hAnsi="Bookman Old Style" w:cstheme="majorBidi"/>
                <w:bCs/>
                <w:i/>
              </w:rPr>
              <w:t>esclusi dai vincoli del Patto di stabilità interno nel 2015</w:t>
            </w:r>
            <w:r w:rsidR="00481472">
              <w:rPr>
                <w:rFonts w:ascii="Bookman Old Style" w:eastAsiaTheme="majorEastAsia" w:hAnsi="Bookman Old Style" w:cstheme="majorBidi"/>
                <w:bCs/>
                <w:i/>
              </w:rPr>
              <w:t xml:space="preserve">, </w:t>
            </w:r>
            <w:r w:rsidR="00481472">
              <w:rPr>
                <w:rFonts w:ascii="Bookman Old Style" w:hAnsi="Bookman Old Style"/>
                <w:i/>
                <w:color w:val="000000"/>
              </w:rPr>
              <w:t xml:space="preserve">hanno contratto </w:t>
            </w:r>
            <w:r w:rsidR="00481472">
              <w:rPr>
                <w:rFonts w:ascii="Bookman Old Style" w:eastAsiaTheme="majorEastAsia" w:hAnsi="Bookman Old Style" w:cstheme="majorBidi"/>
                <w:bCs/>
                <w:i/>
              </w:rPr>
              <w:t xml:space="preserve">debito per finanziare investimenti locali in assenza di vincoli finanziari specifici; </w:t>
            </w:r>
          </w:p>
          <w:p w:rsidR="00D53E9C" w:rsidRPr="00481472" w:rsidRDefault="00D53E9C" w:rsidP="00481472">
            <w:pPr>
              <w:pStyle w:val="Paragrafoelenco"/>
              <w:numPr>
                <w:ilvl w:val="0"/>
                <w:numId w:val="8"/>
              </w:numPr>
              <w:tabs>
                <w:tab w:val="num" w:pos="403"/>
              </w:tabs>
              <w:ind w:left="403" w:hanging="403"/>
              <w:jc w:val="both"/>
              <w:rPr>
                <w:rFonts w:ascii="Bookman Old Style" w:hAnsi="Bookman Old Style"/>
                <w:i/>
                <w:color w:val="000000"/>
              </w:rPr>
            </w:pPr>
            <w:r w:rsidRPr="00481472">
              <w:rPr>
                <w:rFonts w:ascii="Bookman Old Style" w:hAnsi="Bookman Old Style"/>
                <w:i/>
                <w:color w:val="000000"/>
              </w:rPr>
              <w:t xml:space="preserve">ulteriori interventi di </w:t>
            </w:r>
            <w:r w:rsidRPr="00481472">
              <w:rPr>
                <w:rFonts w:ascii="Bookman Old Style" w:hAnsi="Bookman Old Style"/>
                <w:b/>
                <w:i/>
                <w:color w:val="000000"/>
              </w:rPr>
              <w:t>edilizia scolastica</w:t>
            </w:r>
            <w:r w:rsidRPr="00481472">
              <w:rPr>
                <w:rFonts w:ascii="Bookman Old Style" w:hAnsi="Bookman Old Style"/>
                <w:i/>
                <w:color w:val="000000"/>
              </w:rPr>
              <w:t xml:space="preserve">, non soddisfatti dalla quota di spazi finanziari esclusivamente riservata all'edilizia scolastica; </w:t>
            </w:r>
          </w:p>
          <w:p w:rsidR="00D53E9C" w:rsidRPr="00B0126D" w:rsidRDefault="00D53E9C" w:rsidP="00D53E9C">
            <w:pPr>
              <w:pStyle w:val="Paragrafoelenco"/>
              <w:numPr>
                <w:ilvl w:val="0"/>
                <w:numId w:val="8"/>
              </w:numPr>
              <w:tabs>
                <w:tab w:val="num" w:pos="403"/>
              </w:tabs>
              <w:ind w:left="403" w:hanging="403"/>
              <w:jc w:val="both"/>
              <w:rPr>
                <w:rFonts w:ascii="Bookman Old Style" w:hAnsi="Bookman Old Style"/>
                <w:i/>
                <w:color w:val="000000"/>
              </w:rPr>
            </w:pPr>
            <w:r w:rsidRPr="00B0126D">
              <w:rPr>
                <w:rFonts w:ascii="Bookman Old Style" w:hAnsi="Bookman Old Style"/>
                <w:i/>
                <w:color w:val="000000"/>
              </w:rPr>
              <w:t xml:space="preserve">interventi finalizzati </w:t>
            </w:r>
            <w:r w:rsidRPr="00B0126D">
              <w:rPr>
                <w:rFonts w:ascii="Bookman Old Style" w:hAnsi="Bookman Old Style"/>
                <w:b/>
                <w:i/>
                <w:color w:val="000000"/>
              </w:rPr>
              <w:t>all’adeguamento</w:t>
            </w:r>
            <w:r w:rsidRPr="00B0126D">
              <w:rPr>
                <w:rFonts w:ascii="Bookman Old Style" w:hAnsi="Bookman Old Style"/>
                <w:i/>
                <w:color w:val="000000"/>
              </w:rPr>
              <w:t xml:space="preserve"> e al </w:t>
            </w:r>
            <w:r w:rsidRPr="00B0126D">
              <w:rPr>
                <w:rFonts w:ascii="Bookman Old Style" w:hAnsi="Bookman Old Style"/>
                <w:b/>
                <w:i/>
                <w:color w:val="000000"/>
              </w:rPr>
              <w:t>miglioramento</w:t>
            </w:r>
            <w:r w:rsidR="00712400">
              <w:rPr>
                <w:rFonts w:ascii="Bookman Old Style" w:hAnsi="Bookman Old Style"/>
                <w:b/>
                <w:i/>
                <w:color w:val="000000"/>
              </w:rPr>
              <w:t xml:space="preserve"> </w:t>
            </w:r>
            <w:r w:rsidRPr="00B0126D">
              <w:rPr>
                <w:rFonts w:ascii="Bookman Old Style" w:hAnsi="Bookman Old Style"/>
                <w:b/>
                <w:i/>
                <w:color w:val="000000"/>
              </w:rPr>
              <w:t>sismico</w:t>
            </w:r>
            <w:r w:rsidRPr="00B0126D">
              <w:rPr>
                <w:rFonts w:ascii="Bookman Old Style" w:hAnsi="Bookman Old Style"/>
                <w:i/>
                <w:color w:val="000000"/>
              </w:rPr>
              <w:t xml:space="preserve">, limitatamente agli investimenti locali finanziati con avanzo, per i quali l’ente già dispone del </w:t>
            </w:r>
            <w:r w:rsidRPr="00B0126D">
              <w:rPr>
                <w:rFonts w:ascii="Bookman Old Style" w:eastAsia="Times New Roman" w:hAnsi="Bookman Old Style" w:cs="Arial"/>
                <w:i/>
                <w:lang w:eastAsia="it-IT"/>
              </w:rPr>
              <w:t xml:space="preserve">progetto esecutivo; </w:t>
            </w:r>
          </w:p>
          <w:p w:rsidR="00D53E9C" w:rsidRPr="00B0126D" w:rsidRDefault="00D53E9C" w:rsidP="00D53E9C">
            <w:pPr>
              <w:pStyle w:val="Paragrafoelenco"/>
              <w:numPr>
                <w:ilvl w:val="0"/>
                <w:numId w:val="8"/>
              </w:numPr>
              <w:tabs>
                <w:tab w:val="num" w:pos="403"/>
              </w:tabs>
              <w:ind w:left="403" w:hanging="403"/>
              <w:jc w:val="both"/>
              <w:rPr>
                <w:rFonts w:ascii="Bookman Old Style" w:hAnsi="Bookman Old Style"/>
                <w:i/>
                <w:color w:val="000000"/>
              </w:rPr>
            </w:pPr>
            <w:r w:rsidRPr="00B0126D">
              <w:rPr>
                <w:rFonts w:ascii="Bookman Old Style" w:hAnsi="Bookman Old Style"/>
                <w:i/>
                <w:color w:val="000000"/>
              </w:rPr>
              <w:t xml:space="preserve">interventi finalizzati alla </w:t>
            </w:r>
            <w:r w:rsidRPr="00B0126D">
              <w:rPr>
                <w:rFonts w:ascii="Bookman Old Style" w:hAnsi="Bookman Old Style"/>
                <w:b/>
                <w:i/>
                <w:color w:val="000000"/>
              </w:rPr>
              <w:t>prevenzione del rischio idrogeologico</w:t>
            </w:r>
            <w:r w:rsidR="00233EC0">
              <w:rPr>
                <w:rFonts w:ascii="Bookman Old Style" w:hAnsi="Bookman Old Style"/>
                <w:b/>
                <w:i/>
                <w:color w:val="000000"/>
              </w:rPr>
              <w:t>, nonché alla messa in sicurezza, bonifica dei siti inquinati ad altro rischio ambientale</w:t>
            </w:r>
            <w:r w:rsidRPr="00B0126D">
              <w:rPr>
                <w:rFonts w:ascii="Bookman Old Style" w:hAnsi="Bookman Old Style"/>
                <w:i/>
                <w:color w:val="000000"/>
              </w:rPr>
              <w:t>,</w:t>
            </w:r>
            <w:r w:rsidR="00233EC0">
              <w:rPr>
                <w:rFonts w:ascii="Bookman Old Style" w:hAnsi="Bookman Old Style"/>
                <w:i/>
                <w:color w:val="000000"/>
              </w:rPr>
              <w:t xml:space="preserve"> prioritari per il loro impatto sanitario,</w:t>
            </w:r>
            <w:r w:rsidRPr="00B0126D">
              <w:rPr>
                <w:rFonts w:ascii="Bookman Old Style" w:hAnsi="Bookman Old Style"/>
                <w:i/>
                <w:color w:val="000000"/>
              </w:rPr>
              <w:t xml:space="preserve"> limitatamente agli investimenti locali finanziati con avanzo, per i quali l’ente già dispone del </w:t>
            </w:r>
            <w:r w:rsidRPr="00B0126D">
              <w:rPr>
                <w:rFonts w:ascii="Bookman Old Style" w:eastAsia="Times New Roman" w:hAnsi="Bookman Old Style" w:cs="Arial"/>
                <w:i/>
                <w:lang w:eastAsia="it-IT"/>
              </w:rPr>
              <w:t>progetto esecutivo</w:t>
            </w:r>
            <w:r w:rsidR="00233EC0">
              <w:rPr>
                <w:rFonts w:ascii="Bookman Old Style" w:eastAsia="Times New Roman" w:hAnsi="Bookman Old Style" w:cs="Arial"/>
                <w:i/>
                <w:lang w:eastAsia="it-IT"/>
              </w:rPr>
              <w:t>, corredato del cronoprogramma della spesa</w:t>
            </w:r>
            <w:r w:rsidRPr="00B0126D">
              <w:rPr>
                <w:rFonts w:ascii="Bookman Old Style" w:hAnsi="Bookman Old Style"/>
                <w:i/>
                <w:color w:val="000000"/>
              </w:rPr>
              <w:t xml:space="preserve">. </w:t>
            </w:r>
          </w:p>
          <w:p w:rsidR="00D53E9C" w:rsidRPr="00B0126D" w:rsidRDefault="00D53E9C" w:rsidP="00D53E9C">
            <w:pPr>
              <w:jc w:val="both"/>
              <w:rPr>
                <w:rFonts w:ascii="Bookman Old Style" w:hAnsi="Bookman Old Style"/>
                <w:i/>
                <w:color w:val="000000"/>
              </w:rPr>
            </w:pPr>
          </w:p>
          <w:p w:rsidR="00D53E9C" w:rsidRPr="00B0126D" w:rsidRDefault="00D53E9C" w:rsidP="00D53E9C">
            <w:pPr>
              <w:tabs>
                <w:tab w:val="num" w:pos="720"/>
              </w:tabs>
              <w:jc w:val="both"/>
              <w:rPr>
                <w:rFonts w:ascii="Bookman Old Style" w:hAnsi="Bookman Old Style"/>
                <w:i/>
                <w:color w:val="000000"/>
              </w:rPr>
            </w:pPr>
            <w:r w:rsidRPr="00B0126D">
              <w:rPr>
                <w:rFonts w:ascii="Bookman Old Style" w:hAnsi="Bookman Old Style"/>
                <w:i/>
                <w:color w:val="000000"/>
              </w:rPr>
              <w:t>L’ammontare è assegnato con decreto del Ministero dell’economia e delle finanze entro il 15 febbraio di ciascun anno. Tale termine, per il 2017, è</w:t>
            </w:r>
            <w:r w:rsidR="009B2E9E">
              <w:rPr>
                <w:rFonts w:ascii="Bookman Old Style" w:hAnsi="Bookman Old Style"/>
                <w:i/>
                <w:color w:val="000000"/>
              </w:rPr>
              <w:t xml:space="preserve"> prorogato al 15 marzo (comma 494</w:t>
            </w:r>
            <w:r w:rsidRPr="00B0126D">
              <w:rPr>
                <w:rFonts w:ascii="Bookman Old Style" w:hAnsi="Bookman Old Style"/>
                <w:i/>
                <w:color w:val="000000"/>
              </w:rPr>
              <w:t>).</w:t>
            </w:r>
          </w:p>
        </w:tc>
      </w:tr>
      <w:tr w:rsidR="00D53E9C" w:rsidTr="006E24E5">
        <w:tc>
          <w:tcPr>
            <w:tcW w:w="7213" w:type="dxa"/>
            <w:gridSpan w:val="3"/>
          </w:tcPr>
          <w:p w:rsidR="00D53E9C" w:rsidRPr="00E847D3" w:rsidRDefault="0076026C"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493</w:t>
            </w:r>
            <w:r w:rsidR="00D53E9C" w:rsidRPr="00E847D3">
              <w:rPr>
                <w:rFonts w:ascii="Bookman Old Style" w:eastAsia="Times New Roman" w:hAnsi="Bookman Old Style" w:cs="Arial"/>
                <w:lang w:eastAsia="it-IT"/>
              </w:rPr>
              <w:t>. Ferme restando le priorità di cui alle lettere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a)</w:t>
            </w:r>
            <w:r w:rsidR="00D53E9C" w:rsidRPr="00E847D3">
              <w:rPr>
                <w:rFonts w:ascii="Bookman Old Style" w:eastAsia="Times New Roman" w:hAnsi="Bookman Old Style" w:cs="Arial"/>
                <w:lang w:eastAsia="it-IT"/>
              </w:rPr>
              <w:t>,</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b)</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lang w:eastAsia="it-IT"/>
              </w:rPr>
              <w:t>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c)</w:t>
            </w:r>
            <w:r w:rsidR="00D53E9C" w:rsidRPr="00CF63B8">
              <w:rPr>
                <w:rFonts w:ascii="Bookman Old Style" w:eastAsia="Times New Roman" w:hAnsi="Bookman Old Style" w:cs="Arial"/>
                <w:lang w:eastAsia="it-IT"/>
              </w:rPr>
              <w:t> </w:t>
            </w:r>
            <w:r w:rsidRPr="0076026C">
              <w:rPr>
                <w:rFonts w:ascii="Bookman Old Style" w:eastAsia="Times New Roman" w:hAnsi="Bookman Old Style" w:cs="Arial"/>
                <w:b/>
                <w:lang w:eastAsia="it-IT"/>
              </w:rPr>
              <w:t>e d)</w:t>
            </w:r>
            <w:r w:rsidR="00D53E9C" w:rsidRPr="00E847D3">
              <w:rPr>
                <w:rFonts w:ascii="Bookman Old Style" w:eastAsia="Times New Roman" w:hAnsi="Bookman Old Style" w:cs="Arial"/>
                <w:lang w:eastAsia="it-IT"/>
              </w:rPr>
              <w:t>del c</w:t>
            </w:r>
            <w:r>
              <w:rPr>
                <w:rFonts w:ascii="Bookman Old Style" w:eastAsia="Times New Roman" w:hAnsi="Bookman Old Style" w:cs="Arial"/>
                <w:lang w:eastAsia="it-IT"/>
              </w:rPr>
              <w:t>omma 492</w:t>
            </w:r>
            <w:r w:rsidR="00D53E9C" w:rsidRPr="00E847D3">
              <w:rPr>
                <w:rFonts w:ascii="Bookman Old Style" w:eastAsia="Times New Roman" w:hAnsi="Bookman Old Style" w:cs="Arial"/>
                <w:lang w:eastAsia="it-IT"/>
              </w:rPr>
              <w:t xml:space="preserve">, qualora l'entità delle richieste pervenute dagli enti locali superi l'ammontare degli spazi disponibili, l'attribuzione è effettuata a favore degli enti che presentano la </w:t>
            </w:r>
            <w:r w:rsidR="00D53E9C" w:rsidRPr="00E847D3">
              <w:rPr>
                <w:rFonts w:ascii="Bookman Old Style" w:eastAsia="Times New Roman" w:hAnsi="Bookman Old Style" w:cs="Arial"/>
                <w:lang w:eastAsia="it-IT"/>
              </w:rPr>
              <w:lastRenderedPageBreak/>
              <w:t>maggiore incidenza del fondo di cassa rispetto all'avanzo di amministrazione.</w:t>
            </w:r>
          </w:p>
        </w:tc>
        <w:tc>
          <w:tcPr>
            <w:tcW w:w="7214" w:type="dxa"/>
            <w:gridSpan w:val="2"/>
          </w:tcPr>
          <w:p w:rsidR="00D53E9C" w:rsidRPr="00B0126D" w:rsidRDefault="00D53E9C" w:rsidP="00D53E9C">
            <w:pPr>
              <w:jc w:val="both"/>
              <w:rPr>
                <w:rFonts w:ascii="Bookman Old Style" w:hAnsi="Bookman Old Style"/>
                <w:i/>
                <w:color w:val="000000"/>
              </w:rPr>
            </w:pPr>
            <w:r w:rsidRPr="00B0126D">
              <w:rPr>
                <w:rFonts w:ascii="Bookman Old Style" w:hAnsi="Bookman Old Style"/>
                <w:b/>
                <w:i/>
                <w:color w:val="000000"/>
              </w:rPr>
              <w:lastRenderedPageBreak/>
              <w:t>In caso di eccedenza</w:t>
            </w:r>
            <w:r w:rsidRPr="00B0126D">
              <w:rPr>
                <w:rFonts w:ascii="Bookman Old Style" w:hAnsi="Bookman Old Style"/>
                <w:i/>
                <w:color w:val="000000"/>
              </w:rPr>
              <w:t xml:space="preserve"> degli spazi finanziari richiesti, l’attribuzione premia gli enti locali che presentano la </w:t>
            </w:r>
            <w:r w:rsidRPr="00B0126D">
              <w:rPr>
                <w:rFonts w:ascii="Bookman Old Style" w:hAnsi="Bookman Old Style"/>
                <w:b/>
                <w:i/>
                <w:color w:val="000000"/>
              </w:rPr>
              <w:t>maggiore incidenza del fondo di cassa rispetto all'avanzo di amministrazione</w:t>
            </w:r>
            <w:r w:rsidRPr="00B0126D">
              <w:rPr>
                <w:rFonts w:ascii="Bookman Old Style" w:hAnsi="Bookman Old Style"/>
                <w:i/>
                <w:color w:val="000000"/>
              </w:rPr>
              <w:t xml:space="preserve"> (sempre al netto dell’FCDE). </w:t>
            </w:r>
            <w:r w:rsidR="0076026C">
              <w:rPr>
                <w:rFonts w:ascii="Bookman Old Style" w:hAnsi="Bookman Old Style"/>
                <w:i/>
                <w:color w:val="000000"/>
              </w:rPr>
              <w:t>(</w:t>
            </w:r>
            <w:r w:rsidR="0076026C" w:rsidRPr="0076026C">
              <w:rPr>
                <w:rFonts w:ascii="Bookman Old Style" w:hAnsi="Bookman Old Style"/>
                <w:b/>
                <w:i/>
                <w:color w:val="000000"/>
              </w:rPr>
              <w:t>Comma 493</w:t>
            </w:r>
            <w:r w:rsidR="0076026C">
              <w:rPr>
                <w:rFonts w:ascii="Bookman Old Style" w:hAnsi="Bookman Old Style"/>
                <w:i/>
                <w:color w:val="000000"/>
              </w:rPr>
              <w:t>)</w:t>
            </w:r>
          </w:p>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76026C"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494</w:t>
            </w:r>
            <w:r w:rsidR="00D53E9C" w:rsidRPr="00E847D3">
              <w:rPr>
                <w:rFonts w:ascii="Bookman Old Style" w:eastAsia="Times New Roman" w:hAnsi="Bookman Old Style" w:cs="Arial"/>
                <w:lang w:eastAsia="it-IT"/>
              </w:rPr>
              <w:t>. In sede di prima applicazione, nell'anno 20</w:t>
            </w:r>
            <w:r>
              <w:rPr>
                <w:rFonts w:ascii="Bookman Old Style" w:eastAsia="Times New Roman" w:hAnsi="Bookman Old Style" w:cs="Arial"/>
                <w:lang w:eastAsia="it-IT"/>
              </w:rPr>
              <w:t>17, i termini di cui ai commi 487, 489, 490 e 491</w:t>
            </w:r>
            <w:r w:rsidR="00D53E9C" w:rsidRPr="00E847D3">
              <w:rPr>
                <w:rFonts w:ascii="Bookman Old Style" w:eastAsia="Times New Roman" w:hAnsi="Bookman Old Style" w:cs="Arial"/>
                <w:lang w:eastAsia="it-IT"/>
              </w:rPr>
              <w:t xml:space="preserve"> sono, rispettivamente, il 20 febbraio, il 5 marzo, il 20 febbraio e il 15 marzo.</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FE1762"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495</w:t>
            </w:r>
            <w:r w:rsidR="00D53E9C" w:rsidRPr="00E847D3">
              <w:rPr>
                <w:rFonts w:ascii="Bookman Old Style" w:eastAsia="Times New Roman" w:hAnsi="Bookman Old Style" w:cs="Arial"/>
                <w:lang w:eastAsia="it-IT"/>
              </w:rPr>
              <w:t xml:space="preserve">. Al fine di favorire gli investimenti, da realizzare attraverso l'utilizzo dei risultati di amministrazione degli esercizi precedenti e il ricorso al debito, per gli anni 2017, 2018 e 2019, sono assegnati alle regioni </w:t>
            </w:r>
            <w:r w:rsidR="00D53E9C" w:rsidRPr="00FE1762">
              <w:rPr>
                <w:rFonts w:ascii="Bookman Old Style" w:eastAsia="Times New Roman" w:hAnsi="Bookman Old Style" w:cs="Arial"/>
                <w:b/>
                <w:strike/>
                <w:lang w:eastAsia="it-IT"/>
              </w:rPr>
              <w:t>e alle province autonome di Trento e di Bolzano</w:t>
            </w:r>
            <w:r w:rsidR="00D53E9C" w:rsidRPr="00FE1762">
              <w:rPr>
                <w:rFonts w:ascii="Bookman Old Style" w:eastAsia="Times New Roman" w:hAnsi="Bookman Old Style" w:cs="Arial"/>
                <w:strike/>
                <w:lang w:eastAsia="it-IT"/>
              </w:rPr>
              <w:t>,</w:t>
            </w:r>
            <w:r w:rsidR="00D53E9C" w:rsidRPr="00E847D3">
              <w:rPr>
                <w:rFonts w:ascii="Bookman Old Style" w:eastAsia="Times New Roman" w:hAnsi="Bookman Old Style" w:cs="Arial"/>
                <w:lang w:eastAsia="it-IT"/>
              </w:rPr>
              <w:t xml:space="preserve"> spazi finanziari nell'ambito dei</w:t>
            </w:r>
            <w:r w:rsidR="00481472">
              <w:rPr>
                <w:rFonts w:ascii="Bookman Old Style" w:eastAsia="Times New Roman" w:hAnsi="Bookman Old Style" w:cs="Arial"/>
                <w:lang w:eastAsia="it-IT"/>
              </w:rPr>
              <w:t xml:space="preserve"> </w:t>
            </w:r>
            <w:r w:rsidR="00D53E9C" w:rsidRPr="00E847D3">
              <w:rPr>
                <w:rFonts w:ascii="Bookman Old Style" w:eastAsia="Times New Roman" w:hAnsi="Bookman Old Style" w:cs="Arial"/>
                <w:shd w:val="clear" w:color="auto" w:fill="FFFFFF"/>
                <w:lang w:eastAsia="it-IT"/>
              </w:rPr>
              <w:t>patti nazionali, di cui all'</w:t>
            </w:r>
            <w:hyperlink r:id="rId94" w:anchor="art10-com4" w:tgtFrame="rifNormativi" w:history="1">
              <w:r w:rsidR="00D53E9C" w:rsidRPr="00CF63B8">
                <w:rPr>
                  <w:rFonts w:ascii="Bookman Old Style" w:eastAsia="Times New Roman" w:hAnsi="Bookman Old Style" w:cs="Arial"/>
                  <w:lang w:eastAsia="it-IT"/>
                </w:rPr>
                <w:t>articolo 10, comma 4, della legge 24 dicembre 2012, n. 243</w:t>
              </w:r>
            </w:hyperlink>
            <w:r w:rsidR="00D53E9C" w:rsidRPr="00E847D3">
              <w:rPr>
                <w:rFonts w:ascii="Bookman Old Style" w:eastAsia="Times New Roman" w:hAnsi="Bookman Old Style" w:cs="Arial"/>
                <w:shd w:val="clear" w:color="auto" w:fill="FFFFFF"/>
                <w:lang w:eastAsia="it-IT"/>
              </w:rPr>
              <w:t>, nel limite complessivo di 500 milioni di euro annui.</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FE1762" w:rsidP="00D53E9C">
            <w:pPr>
              <w:jc w:val="both"/>
              <w:rPr>
                <w:rFonts w:ascii="Bookman Old Style" w:hAnsi="Bookman Old Style"/>
                <w:i/>
                <w:color w:val="000000"/>
              </w:rPr>
            </w:pPr>
            <w:r>
              <w:rPr>
                <w:rFonts w:ascii="Bookman Old Style" w:hAnsi="Bookman Old Style"/>
                <w:i/>
                <w:color w:val="000000"/>
              </w:rPr>
              <w:t>I commi 495-506</w:t>
            </w:r>
            <w:r w:rsidR="00D53E9C" w:rsidRPr="00B0126D">
              <w:rPr>
                <w:rFonts w:ascii="Bookman Old Style" w:hAnsi="Bookman Old Style"/>
                <w:i/>
                <w:color w:val="000000"/>
              </w:rPr>
              <w:t xml:space="preserve"> disciplinano i patti nazionali per le regioni. </w:t>
            </w:r>
          </w:p>
          <w:p w:rsidR="00D53E9C" w:rsidRPr="00B0126D" w:rsidRDefault="00D53E9C" w:rsidP="00D53E9C">
            <w:pPr>
              <w:rPr>
                <w:rFonts w:ascii="Bookman Old Style" w:hAnsi="Bookman Old Style"/>
                <w:i/>
              </w:rPr>
            </w:pPr>
          </w:p>
          <w:p w:rsidR="00D53E9C" w:rsidRPr="00B0126D" w:rsidRDefault="00D53E9C" w:rsidP="00D53E9C">
            <w:pPr>
              <w:tabs>
                <w:tab w:val="left" w:pos="1215"/>
              </w:tabs>
              <w:rPr>
                <w:rFonts w:ascii="Bookman Old Style" w:hAnsi="Bookman Old Style"/>
                <w:i/>
              </w:rPr>
            </w:pPr>
            <w:r w:rsidRPr="00B0126D">
              <w:rPr>
                <w:rFonts w:ascii="Bookman Old Style" w:hAnsi="Bookman Old Style"/>
                <w:i/>
              </w:rPr>
              <w:tab/>
            </w:r>
          </w:p>
        </w:tc>
      </w:tr>
      <w:tr w:rsidR="00D53E9C" w:rsidTr="006E24E5">
        <w:tc>
          <w:tcPr>
            <w:tcW w:w="7213" w:type="dxa"/>
            <w:gridSpan w:val="3"/>
          </w:tcPr>
          <w:p w:rsidR="00D53E9C" w:rsidRPr="00E847D3" w:rsidRDefault="00FE1762"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shd w:val="clear" w:color="auto" w:fill="FFFFFF"/>
                <w:lang w:eastAsia="it-IT"/>
              </w:rPr>
              <w:t>496</w:t>
            </w:r>
            <w:r w:rsidR="00D53E9C" w:rsidRPr="00E847D3">
              <w:rPr>
                <w:rFonts w:ascii="Bookman Old Style" w:eastAsia="Times New Roman" w:hAnsi="Bookman Old Style" w:cs="Arial"/>
                <w:shd w:val="clear" w:color="auto" w:fill="FFFFFF"/>
                <w:lang w:eastAsia="it-IT"/>
              </w:rPr>
              <w:t xml:space="preserve">. Le regioni </w:t>
            </w:r>
            <w:r w:rsidR="00D53E9C" w:rsidRPr="00FE1762">
              <w:rPr>
                <w:rFonts w:ascii="Bookman Old Style" w:eastAsia="Times New Roman" w:hAnsi="Bookman Old Style" w:cs="Arial"/>
                <w:b/>
                <w:strike/>
                <w:shd w:val="clear" w:color="auto" w:fill="FFFFFF"/>
                <w:lang w:eastAsia="it-IT"/>
              </w:rPr>
              <w:t>e le province autonome di Trento e di Bolzano</w:t>
            </w:r>
            <w:r w:rsidR="00D53E9C" w:rsidRPr="00E847D3">
              <w:rPr>
                <w:rFonts w:ascii="Bookman Old Style" w:eastAsia="Times New Roman" w:hAnsi="Bookman Old Style" w:cs="Arial"/>
                <w:shd w:val="clear" w:color="auto" w:fill="FFFFFF"/>
                <w:lang w:eastAsia="it-IT"/>
              </w:rPr>
              <w:t xml:space="preserve"> non possono richiedere spazi finanziari per le finalità di</w:t>
            </w:r>
            <w:r>
              <w:rPr>
                <w:rFonts w:ascii="Bookman Old Style" w:eastAsia="Times New Roman" w:hAnsi="Bookman Old Style" w:cs="Arial"/>
                <w:shd w:val="clear" w:color="auto" w:fill="FFFFFF"/>
                <w:lang w:eastAsia="it-IT"/>
              </w:rPr>
              <w:t xml:space="preserve"> investimento di cui al comma 495</w:t>
            </w:r>
            <w:r w:rsidR="00D53E9C" w:rsidRPr="00E847D3">
              <w:rPr>
                <w:rFonts w:ascii="Bookman Old Style" w:eastAsia="Times New Roman" w:hAnsi="Bookman Old Style" w:cs="Arial"/>
                <w:shd w:val="clear" w:color="auto" w:fill="FFFFFF"/>
                <w:lang w:eastAsia="it-IT"/>
              </w:rPr>
              <w:t>, qualora le operazioni di investimento, realizzate con il ricorso all'indebitamento e all'utilizzo dei risultati di amministrazione degli esercizi precedenti, possano essere effettuate nel rispetto del proprio saldo di cui al</w:t>
            </w:r>
            <w:r w:rsidR="00D53E9C" w:rsidRPr="00CF63B8">
              <w:rPr>
                <w:rFonts w:ascii="Bookman Old Style" w:eastAsia="Times New Roman" w:hAnsi="Bookman Old Style" w:cs="Arial"/>
                <w:lang w:eastAsia="it-IT"/>
              </w:rPr>
              <w:t> </w:t>
            </w:r>
            <w:hyperlink r:id="rId95" w:anchor="art9-com1" w:tgtFrame="rifNormativi" w:history="1">
              <w:r w:rsidR="00D53E9C" w:rsidRPr="00CF63B8">
                <w:rPr>
                  <w:rFonts w:ascii="Bookman Old Style" w:eastAsia="Times New Roman" w:hAnsi="Bookman Old Style" w:cs="Arial"/>
                  <w:lang w:eastAsia="it-IT"/>
                </w:rPr>
                <w:t>comma 1 dell'articolo 9 della legge 24 dicembre 2012, n. 243</w:t>
              </w:r>
            </w:hyperlink>
            <w:r w:rsidR="00D53E9C" w:rsidRPr="00E847D3">
              <w:rPr>
                <w:rFonts w:ascii="Bookman Old Style" w:eastAsia="Times New Roman" w:hAnsi="Bookman Old Style" w:cs="Arial"/>
                <w:shd w:val="clear" w:color="auto" w:fill="FFFFFF"/>
                <w:lang w:eastAsia="it-IT"/>
              </w:rPr>
              <w: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FE1762" w:rsidP="00D53E9C">
            <w:pPr>
              <w:shd w:val="clear" w:color="auto" w:fill="FFFFFF"/>
              <w:jc w:val="both"/>
              <w:rPr>
                <w:rFonts w:ascii="Bookman Old Style" w:eastAsia="Times New Roman" w:hAnsi="Bookman Old Style" w:cs="Arial"/>
                <w:shd w:val="clear" w:color="auto" w:fill="FFFFFF"/>
                <w:lang w:eastAsia="it-IT"/>
              </w:rPr>
            </w:pPr>
            <w:r>
              <w:rPr>
                <w:rFonts w:ascii="Bookman Old Style" w:eastAsia="Times New Roman" w:hAnsi="Bookman Old Style" w:cs="Arial"/>
                <w:shd w:val="clear" w:color="auto" w:fill="FFFFFF"/>
                <w:lang w:eastAsia="it-IT"/>
              </w:rPr>
              <w:t>497. Gli enti di cui al comma 495</w:t>
            </w:r>
            <w:r w:rsidR="00D53E9C" w:rsidRPr="00E847D3">
              <w:rPr>
                <w:rFonts w:ascii="Bookman Old Style" w:eastAsia="Times New Roman" w:hAnsi="Bookman Old Style" w:cs="Arial"/>
                <w:shd w:val="clear" w:color="auto" w:fill="FFFFFF"/>
                <w:lang w:eastAsia="it-IT"/>
              </w:rPr>
              <w:t xml:space="preserve"> comunicano gli spazi finanziari di cui necessitano per gli investimenti, entro il termine perentorio del 20 gennaio di ciascun anno, al Ministero dell'economia e delle finanze – Dipartimento della Ragioneria generale dello Stato, mediante l'applicativo</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web</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shd w:val="clear" w:color="auto" w:fill="FFFFFF"/>
                <w:lang w:eastAsia="it-IT"/>
              </w:rPr>
              <w:t>appositamente previsto nel sito «http://pareggiobilancio.mef.gov.it».</w:t>
            </w:r>
            <w:r w:rsidR="00D53E9C" w:rsidRPr="00CF63B8">
              <w:rPr>
                <w:rFonts w:ascii="Bookman Old Style" w:eastAsia="Times New Roman" w:hAnsi="Bookman Old Style" w:cs="Arial"/>
                <w:lang w:eastAsia="it-IT"/>
              </w:rPr>
              <w:t> </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rPr>
          <w:trHeight w:val="1850"/>
        </w:trPr>
        <w:tc>
          <w:tcPr>
            <w:tcW w:w="7213" w:type="dxa"/>
            <w:gridSpan w:val="3"/>
          </w:tcPr>
          <w:p w:rsidR="00D53E9C" w:rsidRPr="00E847D3" w:rsidRDefault="00FE1762" w:rsidP="00D53E9C">
            <w:pPr>
              <w:shd w:val="clear" w:color="auto" w:fill="FFFFFF"/>
              <w:jc w:val="both"/>
              <w:rPr>
                <w:rFonts w:ascii="Bookman Old Style" w:eastAsia="Times New Roman" w:hAnsi="Bookman Old Style" w:cs="Times New Roman"/>
                <w:lang w:eastAsia="it-IT"/>
              </w:rPr>
            </w:pPr>
            <w:r>
              <w:rPr>
                <w:rFonts w:ascii="Bookman Old Style" w:eastAsia="Times New Roman" w:hAnsi="Bookman Old Style" w:cs="Arial"/>
                <w:shd w:val="clear" w:color="auto" w:fill="FFFFFF"/>
                <w:lang w:eastAsia="it-IT"/>
              </w:rPr>
              <w:t>498</w:t>
            </w:r>
            <w:r w:rsidR="00D53E9C" w:rsidRPr="00E847D3">
              <w:rPr>
                <w:rFonts w:ascii="Bookman Old Style" w:eastAsia="Times New Roman" w:hAnsi="Bookman Old Style" w:cs="Arial"/>
                <w:shd w:val="clear" w:color="auto" w:fill="FFFFFF"/>
                <w:lang w:eastAsia="it-IT"/>
              </w:rPr>
              <w:t>. Le richieste di spazi finanziari di cui</w:t>
            </w:r>
            <w:r>
              <w:rPr>
                <w:rFonts w:ascii="Bookman Old Style" w:eastAsia="Times New Roman" w:hAnsi="Bookman Old Style" w:cs="Arial"/>
                <w:shd w:val="clear" w:color="auto" w:fill="FFFFFF"/>
                <w:lang w:eastAsia="it-IT"/>
              </w:rPr>
              <w:t xml:space="preserve"> al comma 497</w:t>
            </w:r>
            <w:r w:rsidR="00D53E9C" w:rsidRPr="00E847D3">
              <w:rPr>
                <w:rFonts w:ascii="Bookman Old Style" w:eastAsia="Times New Roman" w:hAnsi="Bookman Old Style" w:cs="Arial"/>
                <w:shd w:val="clear" w:color="auto" w:fill="FFFFFF"/>
                <w:lang w:eastAsia="it-IT"/>
              </w:rPr>
              <w:t xml:space="preserve"> sono complete delle informazioni relative:</w:t>
            </w:r>
          </w:p>
          <w:p w:rsidR="00D53E9C" w:rsidRPr="00E847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 fondo di cassa al 31 dicembre dell'anno precedente;</w:t>
            </w:r>
          </w:p>
          <w:p w:rsidR="00D53E9C" w:rsidRPr="005358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all'avanzo di amministrazione, al netto della quota accantonata del Fondo crediti di dubbia esigibili</w:t>
            </w:r>
            <w:r>
              <w:rPr>
                <w:rFonts w:ascii="Bookman Old Style" w:eastAsia="Times New Roman" w:hAnsi="Bookman Old Style" w:cs="Arial"/>
                <w:lang w:eastAsia="it-IT"/>
              </w:rPr>
              <w:t xml:space="preserve">tà, risultante dal rendiconto o </w:t>
            </w:r>
            <w:r w:rsidRPr="00E847D3">
              <w:rPr>
                <w:rFonts w:ascii="Bookman Old Style" w:eastAsia="Times New Roman" w:hAnsi="Bookman Old Style" w:cs="Arial"/>
                <w:lang w:eastAsia="it-IT"/>
              </w:rPr>
              <w:t>dal pre</w:t>
            </w:r>
            <w:r>
              <w:rPr>
                <w:rFonts w:ascii="Bookman Old Style" w:eastAsia="Times New Roman" w:hAnsi="Bookman Old Style" w:cs="Arial"/>
                <w:lang w:eastAsia="it-IT"/>
              </w:rPr>
              <w:t>consuntivo dell'anno precedente.</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D53E9C"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 </w:t>
            </w:r>
            <w:r w:rsidR="00FE1762">
              <w:rPr>
                <w:rFonts w:ascii="Bookman Old Style" w:eastAsia="Times New Roman" w:hAnsi="Bookman Old Style" w:cs="Arial"/>
                <w:lang w:eastAsia="it-IT"/>
              </w:rPr>
              <w:t>499</w:t>
            </w:r>
            <w:r w:rsidRPr="00E847D3">
              <w:rPr>
                <w:rFonts w:ascii="Bookman Old Style" w:eastAsia="Times New Roman" w:hAnsi="Bookman Old Style" w:cs="Arial"/>
                <w:lang w:eastAsia="it-IT"/>
              </w:rPr>
              <w:t xml:space="preserve">. L'ammontare dello spazio finanziario attribuito a ciascuna regione e provincia autonoma è determinato, entro il 15 febbraio di ciascun anno, con decreto del Ministero dell'economia e delle </w:t>
            </w:r>
            <w:r w:rsidRPr="00E847D3">
              <w:rPr>
                <w:rFonts w:ascii="Bookman Old Style" w:eastAsia="Times New Roman" w:hAnsi="Bookman Old Style" w:cs="Arial"/>
                <w:lang w:eastAsia="it-IT"/>
              </w:rPr>
              <w:lastRenderedPageBreak/>
              <w:t>finanze – Dipartimento della Ragioneria generale dello Stato, tenendo conto del seguente ordine prioritario:</w:t>
            </w:r>
          </w:p>
          <w:p w:rsidR="00D53E9C" w:rsidRPr="00E847D3"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a)</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investimenti finalizzati all'adeguamento e al miglioramento sismico degli immobili, finanziati con avanzo di amministrazione, per i quali gli enti dispongono del progetto esecutivo redatto e validato in conformità alla vigente normativa, completo del cronoprogramma della spesa;</w:t>
            </w:r>
          </w:p>
          <w:p w:rsidR="00D53E9C" w:rsidRPr="00FE1762" w:rsidRDefault="00D53E9C" w:rsidP="00D53E9C">
            <w:pPr>
              <w:shd w:val="clear" w:color="auto" w:fill="FFFFFF"/>
              <w:jc w:val="both"/>
              <w:rPr>
                <w:rFonts w:ascii="Bookman Old Style" w:eastAsia="Times New Roman" w:hAnsi="Bookman Old Style" w:cs="Arial"/>
                <w:lang w:eastAsia="it-IT"/>
              </w:rPr>
            </w:pPr>
            <w:r w:rsidRPr="00E847D3">
              <w:rPr>
                <w:rFonts w:ascii="Bookman Old Style" w:eastAsia="Times New Roman" w:hAnsi="Bookman Old Style" w:cs="Arial"/>
                <w:lang w:eastAsia="it-IT"/>
              </w:rPr>
              <w:t>          </w:t>
            </w:r>
            <w:r w:rsidRPr="00CF63B8">
              <w:rPr>
                <w:rFonts w:ascii="Bookman Old Style" w:eastAsia="Times New Roman" w:hAnsi="Bookman Old Style" w:cs="Arial"/>
                <w:i/>
                <w:iCs/>
                <w:lang w:eastAsia="it-IT"/>
              </w:rPr>
              <w:t>b)</w:t>
            </w:r>
            <w:r w:rsidRPr="00CF63B8">
              <w:rPr>
                <w:rFonts w:ascii="Bookman Old Style" w:eastAsia="Times New Roman" w:hAnsi="Bookman Old Style" w:cs="Arial"/>
                <w:lang w:eastAsia="it-IT"/>
              </w:rPr>
              <w:t> </w:t>
            </w:r>
            <w:r w:rsidRPr="00E847D3">
              <w:rPr>
                <w:rFonts w:ascii="Bookman Old Style" w:eastAsia="Times New Roman" w:hAnsi="Bookman Old Style" w:cs="Arial"/>
                <w:lang w:eastAsia="it-IT"/>
              </w:rPr>
              <w:t>investimenti finalizzati alla preven</w:t>
            </w:r>
            <w:r w:rsidR="00FE1762">
              <w:rPr>
                <w:rFonts w:ascii="Bookman Old Style" w:eastAsia="Times New Roman" w:hAnsi="Bookman Old Style" w:cs="Arial"/>
                <w:lang w:eastAsia="it-IT"/>
              </w:rPr>
              <w:t xml:space="preserve">zione del rischio idrogeologico </w:t>
            </w:r>
            <w:r w:rsidR="00FE1762" w:rsidRPr="00FE1762">
              <w:rPr>
                <w:rFonts w:ascii="Bookman Old Style" w:eastAsia="Times New Roman" w:hAnsi="Bookman Old Style" w:cs="Arial"/>
                <w:b/>
                <w:lang w:eastAsia="it-IT"/>
              </w:rPr>
              <w:t>e alla messa in sicurezza e alla bonifica di siti inquinati ad alto rischio ambientale, individuati come prioritari per il loro rilevante impatto sanitario</w:t>
            </w:r>
            <w:r w:rsidR="00FE1762">
              <w:rPr>
                <w:rFonts w:ascii="Bookman Old Style" w:eastAsia="Times New Roman" w:hAnsi="Bookman Old Style" w:cs="Arial"/>
                <w:b/>
                <w:lang w:eastAsia="it-IT"/>
              </w:rPr>
              <w:t>,</w:t>
            </w:r>
            <w:r w:rsidR="00481472">
              <w:rPr>
                <w:rFonts w:ascii="Bookman Old Style" w:eastAsia="Times New Roman" w:hAnsi="Bookman Old Style" w:cs="Arial"/>
                <w:b/>
                <w:lang w:eastAsia="it-IT"/>
              </w:rPr>
              <w:t xml:space="preserve"> </w:t>
            </w:r>
            <w:r w:rsidRPr="00E847D3">
              <w:rPr>
                <w:rFonts w:ascii="Bookman Old Style" w:eastAsia="Times New Roman" w:hAnsi="Bookman Old Style" w:cs="Arial"/>
                <w:lang w:eastAsia="it-IT"/>
              </w:rPr>
              <w:t>finanziati</w:t>
            </w:r>
            <w:r w:rsidR="00481472">
              <w:rPr>
                <w:rFonts w:ascii="Bookman Old Style" w:eastAsia="Times New Roman" w:hAnsi="Bookman Old Style" w:cs="Arial"/>
                <w:lang w:eastAsia="it-IT"/>
              </w:rPr>
              <w:t xml:space="preserve"> </w:t>
            </w:r>
            <w:r w:rsidRPr="00E847D3">
              <w:rPr>
                <w:rFonts w:ascii="Bookman Old Style" w:eastAsia="Times New Roman" w:hAnsi="Bookman Old Style" w:cs="Arial"/>
                <w:shd w:val="clear" w:color="auto" w:fill="FFFFFF"/>
                <w:lang w:eastAsia="it-IT"/>
              </w:rPr>
              <w:t>con avanzo di amministrazione, per i quali gli enti dispongono del progetto esecutivo redatto e validato in conformità alla vigente normativa, completo del cronoprogramma della spesa.</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Default="00E54D7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500</w:t>
            </w:r>
            <w:r w:rsidR="00D53E9C" w:rsidRPr="00E847D3">
              <w:rPr>
                <w:rFonts w:ascii="Bookman Old Style" w:eastAsia="Times New Roman" w:hAnsi="Bookman Old Style" w:cs="Arial"/>
                <w:lang w:eastAsia="it-IT"/>
              </w:rPr>
              <w:t>. Ferme restando le priorità di cui alle lettere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a)</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lang w:eastAsia="it-IT"/>
              </w:rPr>
              <w:t>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b)</w:t>
            </w:r>
            <w:r w:rsidR="00D53E9C" w:rsidRPr="00CF63B8">
              <w:rPr>
                <w:rFonts w:ascii="Bookman Old Style" w:eastAsia="Times New Roman" w:hAnsi="Bookman Old Style" w:cs="Arial"/>
                <w:lang w:eastAsia="it-IT"/>
              </w:rPr>
              <w:t> </w:t>
            </w:r>
            <w:r>
              <w:rPr>
                <w:rFonts w:ascii="Bookman Old Style" w:eastAsia="Times New Roman" w:hAnsi="Bookman Old Style" w:cs="Arial"/>
                <w:lang w:eastAsia="it-IT"/>
              </w:rPr>
              <w:t>del comma 499</w:t>
            </w:r>
            <w:r w:rsidR="00D53E9C" w:rsidRPr="00E847D3">
              <w:rPr>
                <w:rFonts w:ascii="Bookman Old Style" w:eastAsia="Times New Roman" w:hAnsi="Bookman Old Style" w:cs="Arial"/>
                <w:lang w:eastAsia="it-IT"/>
              </w:rPr>
              <w:t>, qualora l'entità delle richieste pervenute dalle regioni e dalle province autonome superi l'ammontare degli spazi disponibili, l'attribuzione è effettuata a favore degli enti che presentano la maggiore incidenza del fondo di cassa rispetto all'avanzo di amministrazione.</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E54D7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501</w:t>
            </w:r>
            <w:r w:rsidR="00D53E9C" w:rsidRPr="00E847D3">
              <w:rPr>
                <w:rFonts w:ascii="Bookman Old Style" w:eastAsia="Times New Roman" w:hAnsi="Bookman Old Style" w:cs="Arial"/>
                <w:lang w:eastAsia="it-IT"/>
              </w:rPr>
              <w:t>. In sede di prima applicazione, nell'anno 2017, i termini di cui ai commi 35 e 37 sono, rispettivamente, il 20 febbraio e il 15 marzo.</w:t>
            </w:r>
          </w:p>
        </w:tc>
        <w:tc>
          <w:tcPr>
            <w:tcW w:w="7214" w:type="dxa"/>
            <w:gridSpan w:val="2"/>
          </w:tcPr>
          <w:p w:rsidR="00D53E9C" w:rsidRPr="00B0126D" w:rsidRDefault="00D53E9C" w:rsidP="00D53E9C">
            <w:pPr>
              <w:jc w:val="both"/>
              <w:rPr>
                <w:rFonts w:ascii="Bookman Old Style" w:hAnsi="Bookman Old Style"/>
                <w:i/>
                <w:color w:val="000000"/>
              </w:rPr>
            </w:pPr>
          </w:p>
        </w:tc>
      </w:tr>
      <w:tr w:rsidR="00E54D7E" w:rsidTr="006E24E5">
        <w:tc>
          <w:tcPr>
            <w:tcW w:w="7213" w:type="dxa"/>
            <w:gridSpan w:val="3"/>
          </w:tcPr>
          <w:p w:rsidR="00E54D7E" w:rsidRPr="00E54D7E" w:rsidRDefault="00E54D7E" w:rsidP="00E54D7E">
            <w:pPr>
              <w:shd w:val="clear" w:color="auto" w:fill="FFFFFF"/>
              <w:jc w:val="both"/>
              <w:rPr>
                <w:rFonts w:ascii="Bookman Old Style" w:eastAsia="Times New Roman" w:hAnsi="Bookman Old Style" w:cs="Arial"/>
                <w:b/>
                <w:lang w:eastAsia="it-IT"/>
              </w:rPr>
            </w:pPr>
            <w:r w:rsidRPr="00E54D7E">
              <w:rPr>
                <w:rFonts w:ascii="Bookman Old Style" w:eastAsia="Times New Roman" w:hAnsi="Bookman Old Style" w:cs="Arial"/>
                <w:b/>
                <w:lang w:eastAsia="it-IT"/>
              </w:rPr>
              <w:t>502. Fermo restando qua</w:t>
            </w:r>
            <w:r>
              <w:rPr>
                <w:rFonts w:ascii="Bookman Old Style" w:eastAsia="Times New Roman" w:hAnsi="Bookman Old Style" w:cs="Arial"/>
                <w:b/>
                <w:lang w:eastAsia="it-IT"/>
              </w:rPr>
              <w:t xml:space="preserve">nto disposto </w:t>
            </w:r>
            <w:r w:rsidRPr="00E54D7E">
              <w:rPr>
                <w:rFonts w:ascii="Bookman Old Style" w:eastAsia="Times New Roman" w:hAnsi="Bookman Old Style" w:cs="Arial"/>
                <w:b/>
                <w:lang w:eastAsia="it-IT"/>
              </w:rPr>
              <w:t>dall’art</w:t>
            </w:r>
            <w:r>
              <w:rPr>
                <w:rFonts w:ascii="Bookman Old Style" w:eastAsia="Times New Roman" w:hAnsi="Bookman Old Style" w:cs="Arial"/>
                <w:b/>
                <w:lang w:eastAsia="it-IT"/>
              </w:rPr>
              <w:t xml:space="preserve">icolo 9 della legge 24 dicembre </w:t>
            </w:r>
            <w:r w:rsidRPr="00E54D7E">
              <w:rPr>
                <w:rFonts w:ascii="Bookman Old Style" w:eastAsia="Times New Roman" w:hAnsi="Bookman Old Style" w:cs="Arial"/>
                <w:b/>
                <w:lang w:eastAsia="it-IT"/>
              </w:rPr>
              <w:t>2012, n. 243, e in coerenza con il patto di</w:t>
            </w:r>
          </w:p>
          <w:p w:rsidR="00E54D7E" w:rsidRPr="00E54D7E" w:rsidRDefault="00E54D7E" w:rsidP="00E54D7E">
            <w:pPr>
              <w:shd w:val="clear" w:color="auto" w:fill="FFFFFF"/>
              <w:jc w:val="both"/>
              <w:rPr>
                <w:rFonts w:ascii="Bookman Old Style" w:eastAsia="Times New Roman" w:hAnsi="Bookman Old Style" w:cs="Arial"/>
                <w:b/>
                <w:lang w:eastAsia="it-IT"/>
              </w:rPr>
            </w:pPr>
            <w:r w:rsidRPr="00E54D7E">
              <w:rPr>
                <w:rFonts w:ascii="Bookman Old Style" w:eastAsia="Times New Roman" w:hAnsi="Bookman Old Style" w:cs="Arial"/>
                <w:b/>
                <w:lang w:eastAsia="it-IT"/>
              </w:rPr>
              <w:t>stabilità intern</w:t>
            </w:r>
            <w:r>
              <w:rPr>
                <w:rFonts w:ascii="Bookman Old Style" w:eastAsia="Times New Roman" w:hAnsi="Bookman Old Style" w:cs="Arial"/>
                <w:b/>
                <w:lang w:eastAsia="it-IT"/>
              </w:rPr>
              <w:t xml:space="preserve">o di cui alla legge 23 dicembre </w:t>
            </w:r>
            <w:r w:rsidRPr="00E54D7E">
              <w:rPr>
                <w:rFonts w:ascii="Bookman Old Style" w:eastAsia="Times New Roman" w:hAnsi="Bookman Old Style" w:cs="Arial"/>
                <w:b/>
                <w:lang w:eastAsia="it-IT"/>
              </w:rPr>
              <w:t xml:space="preserve">2014, </w:t>
            </w:r>
            <w:r>
              <w:rPr>
                <w:rFonts w:ascii="Bookman Old Style" w:eastAsia="Times New Roman" w:hAnsi="Bookman Old Style" w:cs="Arial"/>
                <w:b/>
                <w:lang w:eastAsia="it-IT"/>
              </w:rPr>
              <w:t xml:space="preserve">n. 190, al fine di favorire gli </w:t>
            </w:r>
            <w:r w:rsidRPr="00E54D7E">
              <w:rPr>
                <w:rFonts w:ascii="Bookman Old Style" w:eastAsia="Times New Roman" w:hAnsi="Bookman Old Style" w:cs="Arial"/>
                <w:b/>
                <w:lang w:eastAsia="it-IT"/>
              </w:rPr>
              <w:t>investimenti, da r</w:t>
            </w:r>
            <w:r>
              <w:rPr>
                <w:rFonts w:ascii="Bookman Old Style" w:eastAsia="Times New Roman" w:hAnsi="Bookman Old Style" w:cs="Arial"/>
                <w:b/>
                <w:lang w:eastAsia="it-IT"/>
              </w:rPr>
              <w:t xml:space="preserve">ealizzare attraverso l’utilizzo </w:t>
            </w:r>
            <w:r w:rsidRPr="00E54D7E">
              <w:rPr>
                <w:rFonts w:ascii="Bookman Old Style" w:eastAsia="Times New Roman" w:hAnsi="Bookman Old Style" w:cs="Arial"/>
                <w:b/>
                <w:lang w:eastAsia="it-IT"/>
              </w:rPr>
              <w:t>dei risultati di ammini</w:t>
            </w:r>
            <w:r>
              <w:rPr>
                <w:rFonts w:ascii="Bookman Old Style" w:eastAsia="Times New Roman" w:hAnsi="Bookman Old Style" w:cs="Arial"/>
                <w:b/>
                <w:lang w:eastAsia="it-IT"/>
              </w:rPr>
              <w:t xml:space="preserve">strazione degli </w:t>
            </w:r>
            <w:r w:rsidRPr="00E54D7E">
              <w:rPr>
                <w:rFonts w:ascii="Bookman Old Style" w:eastAsia="Times New Roman" w:hAnsi="Bookman Old Style" w:cs="Arial"/>
                <w:b/>
                <w:lang w:eastAsia="it-IT"/>
              </w:rPr>
              <w:t>esercizi prece</w:t>
            </w:r>
            <w:r>
              <w:rPr>
                <w:rFonts w:ascii="Bookman Old Style" w:eastAsia="Times New Roman" w:hAnsi="Bookman Old Style" w:cs="Arial"/>
                <w:b/>
                <w:lang w:eastAsia="it-IT"/>
              </w:rPr>
              <w:t xml:space="preserve">denti, per gli anni dal 2017 al </w:t>
            </w:r>
            <w:r w:rsidRPr="00E54D7E">
              <w:rPr>
                <w:rFonts w:ascii="Bookman Old Style" w:eastAsia="Times New Roman" w:hAnsi="Bookman Old Style" w:cs="Arial"/>
                <w:b/>
                <w:lang w:eastAsia="it-IT"/>
              </w:rPr>
              <w:t>2030, sono a</w:t>
            </w:r>
            <w:r>
              <w:rPr>
                <w:rFonts w:ascii="Bookman Old Style" w:eastAsia="Times New Roman" w:hAnsi="Bookman Old Style" w:cs="Arial"/>
                <w:b/>
                <w:lang w:eastAsia="it-IT"/>
              </w:rPr>
              <w:t xml:space="preserve">ssegnati alle province autonome </w:t>
            </w:r>
            <w:r w:rsidRPr="00E54D7E">
              <w:rPr>
                <w:rFonts w:ascii="Bookman Old Style" w:eastAsia="Times New Roman" w:hAnsi="Bookman Old Style" w:cs="Arial"/>
                <w:b/>
                <w:lang w:eastAsia="it-IT"/>
              </w:rPr>
              <w:t>di Tren</w:t>
            </w:r>
            <w:r>
              <w:rPr>
                <w:rFonts w:ascii="Bookman Old Style" w:eastAsia="Times New Roman" w:hAnsi="Bookman Old Style" w:cs="Arial"/>
                <w:b/>
                <w:lang w:eastAsia="it-IT"/>
              </w:rPr>
              <w:t xml:space="preserve">to e di Bolzano, ai sensi e per </w:t>
            </w:r>
            <w:r w:rsidRPr="00E54D7E">
              <w:rPr>
                <w:rFonts w:ascii="Bookman Old Style" w:eastAsia="Times New Roman" w:hAnsi="Bookman Old Style" w:cs="Arial"/>
                <w:b/>
                <w:lang w:eastAsia="it-IT"/>
              </w:rPr>
              <w:t>gli effetti dell</w:t>
            </w:r>
            <w:r>
              <w:rPr>
                <w:rFonts w:ascii="Bookman Old Style" w:eastAsia="Times New Roman" w:hAnsi="Bookman Old Style" w:cs="Arial"/>
                <w:b/>
                <w:lang w:eastAsia="it-IT"/>
              </w:rPr>
              <w:t xml:space="preserve">’articolo 10 della citata legge </w:t>
            </w:r>
            <w:r w:rsidRPr="00E54D7E">
              <w:rPr>
                <w:rFonts w:ascii="Bookman Old Style" w:eastAsia="Times New Roman" w:hAnsi="Bookman Old Style" w:cs="Arial"/>
                <w:b/>
                <w:lang w:eastAsia="it-IT"/>
              </w:rPr>
              <w:t>n. 243 del 2012</w:t>
            </w:r>
            <w:r>
              <w:rPr>
                <w:rFonts w:ascii="Bookman Old Style" w:eastAsia="Times New Roman" w:hAnsi="Bookman Old Style" w:cs="Arial"/>
                <w:b/>
                <w:lang w:eastAsia="it-IT"/>
              </w:rPr>
              <w:t xml:space="preserve">, spazi finanziari nell’importo </w:t>
            </w:r>
            <w:r w:rsidRPr="00E54D7E">
              <w:rPr>
                <w:rFonts w:ascii="Bookman Old Style" w:eastAsia="Times New Roman" w:hAnsi="Bookman Old Style" w:cs="Arial"/>
                <w:b/>
                <w:lang w:eastAsia="it-IT"/>
              </w:rPr>
              <w:t>di 70 milioni di</w:t>
            </w:r>
            <w:r>
              <w:rPr>
                <w:rFonts w:ascii="Bookman Old Style" w:eastAsia="Times New Roman" w:hAnsi="Bookman Old Style" w:cs="Arial"/>
                <w:b/>
                <w:lang w:eastAsia="it-IT"/>
              </w:rPr>
              <w:t xml:space="preserve"> euro per ciascuna </w:t>
            </w:r>
            <w:r w:rsidRPr="00E54D7E">
              <w:rPr>
                <w:rFonts w:ascii="Bookman Old Style" w:eastAsia="Times New Roman" w:hAnsi="Bookman Old Style" w:cs="Arial"/>
                <w:b/>
                <w:lang w:eastAsia="it-IT"/>
              </w:rPr>
              <w:t>provincia</w:t>
            </w:r>
            <w:r>
              <w:rPr>
                <w:rFonts w:ascii="Bookman Old Style" w:eastAsia="Times New Roman" w:hAnsi="Bookman Old Style" w:cs="Arial"/>
                <w:b/>
                <w:lang w:eastAsia="it-IT"/>
              </w:rPr>
              <w:t xml:space="preserve"> nell’anno 2017 e 50 milioni di </w:t>
            </w:r>
            <w:r w:rsidRPr="00E54D7E">
              <w:rPr>
                <w:rFonts w:ascii="Bookman Old Style" w:eastAsia="Times New Roman" w:hAnsi="Bookman Old Style" w:cs="Arial"/>
                <w:b/>
                <w:lang w:eastAsia="it-IT"/>
              </w:rPr>
              <w:t>euro ann</w:t>
            </w:r>
            <w:r>
              <w:rPr>
                <w:rFonts w:ascii="Bookman Old Style" w:eastAsia="Times New Roman" w:hAnsi="Bookman Old Style" w:cs="Arial"/>
                <w:b/>
                <w:lang w:eastAsia="it-IT"/>
              </w:rPr>
              <w:t xml:space="preserve">ui per ciascuna provincia negli </w:t>
            </w:r>
            <w:r w:rsidRPr="00E54D7E">
              <w:rPr>
                <w:rFonts w:ascii="Bookman Old Style" w:eastAsia="Times New Roman" w:hAnsi="Bookman Old Style" w:cs="Arial"/>
                <w:b/>
                <w:lang w:eastAsia="it-IT"/>
              </w:rPr>
              <w:t>anni dal 2018 al 2030.</w:t>
            </w:r>
          </w:p>
        </w:tc>
        <w:tc>
          <w:tcPr>
            <w:tcW w:w="7214" w:type="dxa"/>
            <w:gridSpan w:val="2"/>
          </w:tcPr>
          <w:p w:rsidR="00E54D7E" w:rsidRPr="00B0126D" w:rsidRDefault="00481472" w:rsidP="00481472">
            <w:pPr>
              <w:jc w:val="both"/>
              <w:rPr>
                <w:rFonts w:ascii="Bookman Old Style" w:hAnsi="Bookman Old Style"/>
                <w:i/>
                <w:color w:val="000000"/>
              </w:rPr>
            </w:pPr>
            <w:r>
              <w:rPr>
                <w:rFonts w:ascii="Bookman Old Style" w:hAnsi="Bookman Old Style"/>
                <w:i/>
                <w:color w:val="000000"/>
              </w:rPr>
              <w:t xml:space="preserve">I </w:t>
            </w:r>
            <w:r w:rsidRPr="00B13147">
              <w:rPr>
                <w:rFonts w:ascii="Bookman Old Style" w:hAnsi="Bookman Old Style"/>
                <w:b/>
                <w:i/>
                <w:color w:val="000000"/>
              </w:rPr>
              <w:t>commi 502- 505</w:t>
            </w:r>
            <w:r>
              <w:rPr>
                <w:rFonts w:ascii="Bookman Old Style" w:hAnsi="Bookman Old Style"/>
                <w:i/>
                <w:color w:val="000000"/>
              </w:rPr>
              <w:t xml:space="preserve">, introdotti dalla Camera, dettano ulteriori regole di finanza pubblica per le </w:t>
            </w:r>
            <w:r w:rsidRPr="00481472">
              <w:rPr>
                <w:rFonts w:ascii="Bookman Old Style" w:hAnsi="Bookman Old Style"/>
                <w:i/>
                <w:color w:val="000000"/>
              </w:rPr>
              <w:t>province autonome di Trento e di Bolzano</w:t>
            </w:r>
            <w:r>
              <w:rPr>
                <w:rFonts w:ascii="Bookman Old Style" w:hAnsi="Bookman Old Style"/>
                <w:i/>
                <w:color w:val="000000"/>
              </w:rPr>
              <w:t>.</w:t>
            </w:r>
          </w:p>
        </w:tc>
      </w:tr>
      <w:tr w:rsidR="00E54D7E" w:rsidTr="006E24E5">
        <w:tc>
          <w:tcPr>
            <w:tcW w:w="7213" w:type="dxa"/>
            <w:gridSpan w:val="3"/>
          </w:tcPr>
          <w:p w:rsidR="00E54D7E" w:rsidRPr="00E54D7E" w:rsidRDefault="00E54D7E" w:rsidP="00E54D7E">
            <w:pPr>
              <w:shd w:val="clear" w:color="auto" w:fill="FFFFFF"/>
              <w:jc w:val="both"/>
              <w:rPr>
                <w:rFonts w:ascii="Bookman Old Style" w:eastAsia="Times New Roman" w:hAnsi="Bookman Old Style" w:cs="Arial"/>
                <w:b/>
                <w:lang w:eastAsia="it-IT"/>
              </w:rPr>
            </w:pPr>
            <w:r w:rsidRPr="00E54D7E">
              <w:rPr>
                <w:rFonts w:ascii="Bookman Old Style" w:eastAsia="Times New Roman" w:hAnsi="Bookman Old Style" w:cs="Arial"/>
                <w:b/>
                <w:lang w:eastAsia="it-IT"/>
              </w:rPr>
              <w:t>503. Il concorso della regione Trentino</w:t>
            </w:r>
            <w:r w:rsidR="00481472">
              <w:rPr>
                <w:rFonts w:ascii="Bookman Old Style" w:eastAsia="Times New Roman" w:hAnsi="Bookman Old Style" w:cs="Arial"/>
                <w:b/>
                <w:lang w:eastAsia="it-IT"/>
              </w:rPr>
              <w:t xml:space="preserve"> </w:t>
            </w:r>
            <w:r w:rsidRPr="00E54D7E">
              <w:rPr>
                <w:rFonts w:ascii="Bookman Old Style" w:eastAsia="Times New Roman" w:hAnsi="Bookman Old Style" w:cs="Arial"/>
                <w:b/>
                <w:lang w:eastAsia="it-IT"/>
              </w:rPr>
              <w:t>Alto-Adige e delle</w:t>
            </w:r>
            <w:r w:rsidR="00481472">
              <w:rPr>
                <w:rFonts w:ascii="Bookman Old Style" w:eastAsia="Times New Roman" w:hAnsi="Bookman Old Style" w:cs="Arial"/>
                <w:b/>
                <w:lang w:eastAsia="it-IT"/>
              </w:rPr>
              <w:t xml:space="preserve"> </w:t>
            </w:r>
            <w:r>
              <w:rPr>
                <w:rFonts w:ascii="Bookman Old Style" w:eastAsia="Times New Roman" w:hAnsi="Bookman Old Style" w:cs="Arial"/>
                <w:b/>
                <w:lang w:eastAsia="it-IT"/>
              </w:rPr>
              <w:t xml:space="preserve">province autonome di </w:t>
            </w:r>
            <w:r w:rsidRPr="00E54D7E">
              <w:rPr>
                <w:rFonts w:ascii="Bookman Old Style" w:eastAsia="Times New Roman" w:hAnsi="Bookman Old Style" w:cs="Arial"/>
                <w:b/>
                <w:lang w:eastAsia="it-IT"/>
              </w:rPr>
              <w:t xml:space="preserve">Trento e </w:t>
            </w:r>
            <w:r>
              <w:rPr>
                <w:rFonts w:ascii="Bookman Old Style" w:eastAsia="Times New Roman" w:hAnsi="Bookman Old Style" w:cs="Arial"/>
                <w:b/>
                <w:lang w:eastAsia="it-IT"/>
              </w:rPr>
              <w:t xml:space="preserve">di Bolzano, in termini di </w:t>
            </w:r>
            <w:r>
              <w:rPr>
                <w:rFonts w:ascii="Bookman Old Style" w:eastAsia="Times New Roman" w:hAnsi="Bookman Old Style" w:cs="Arial"/>
                <w:b/>
                <w:lang w:eastAsia="it-IT"/>
              </w:rPr>
              <w:lastRenderedPageBreak/>
              <w:t xml:space="preserve">saldo </w:t>
            </w:r>
            <w:r w:rsidRPr="00E54D7E">
              <w:rPr>
                <w:rFonts w:ascii="Bookman Old Style" w:eastAsia="Times New Roman" w:hAnsi="Bookman Old Style" w:cs="Arial"/>
                <w:b/>
                <w:lang w:eastAsia="it-IT"/>
              </w:rPr>
              <w:t>netto da finanz</w:t>
            </w:r>
            <w:r>
              <w:rPr>
                <w:rFonts w:ascii="Bookman Old Style" w:eastAsia="Times New Roman" w:hAnsi="Bookman Old Style" w:cs="Arial"/>
                <w:b/>
                <w:lang w:eastAsia="it-IT"/>
              </w:rPr>
              <w:t xml:space="preserve">iare a decorrere dall’esercizio </w:t>
            </w:r>
            <w:r w:rsidRPr="00E54D7E">
              <w:rPr>
                <w:rFonts w:ascii="Bookman Old Style" w:eastAsia="Times New Roman" w:hAnsi="Bookman Old Style" w:cs="Arial"/>
                <w:b/>
                <w:lang w:eastAsia="it-IT"/>
              </w:rPr>
              <w:t>2017 e in</w:t>
            </w:r>
            <w:r>
              <w:rPr>
                <w:rFonts w:ascii="Bookman Old Style" w:eastAsia="Times New Roman" w:hAnsi="Bookman Old Style" w:cs="Arial"/>
                <w:b/>
                <w:lang w:eastAsia="it-IT"/>
              </w:rPr>
              <w:t xml:space="preserve"> termini anche di indebitamento </w:t>
            </w:r>
            <w:r w:rsidRPr="00E54D7E">
              <w:rPr>
                <w:rFonts w:ascii="Bookman Old Style" w:eastAsia="Times New Roman" w:hAnsi="Bookman Old Style" w:cs="Arial"/>
                <w:b/>
                <w:lang w:eastAsia="it-IT"/>
              </w:rPr>
              <w:t>netto a decorrere dal 2018, previsto</w:t>
            </w:r>
            <w:r w:rsidR="00481472">
              <w:rPr>
                <w:rFonts w:ascii="Bookman Old Style" w:eastAsia="Times New Roman" w:hAnsi="Bookman Old Style" w:cs="Arial"/>
                <w:b/>
                <w:lang w:eastAsia="it-IT"/>
              </w:rPr>
              <w:t xml:space="preserve"> </w:t>
            </w:r>
            <w:r w:rsidRPr="00E54D7E">
              <w:rPr>
                <w:rFonts w:ascii="Bookman Old Style" w:eastAsia="Times New Roman" w:hAnsi="Bookman Old Style" w:cs="Arial"/>
                <w:b/>
                <w:lang w:eastAsia="it-IT"/>
              </w:rPr>
              <w:t>dall’articolo</w:t>
            </w:r>
            <w:r>
              <w:rPr>
                <w:rFonts w:ascii="Bookman Old Style" w:eastAsia="Times New Roman" w:hAnsi="Bookman Old Style" w:cs="Arial"/>
                <w:b/>
                <w:lang w:eastAsia="it-IT"/>
              </w:rPr>
              <w:t xml:space="preserve"> 79 del testo unico delle leggi </w:t>
            </w:r>
            <w:r w:rsidRPr="00E54D7E">
              <w:rPr>
                <w:rFonts w:ascii="Bookman Old Style" w:eastAsia="Times New Roman" w:hAnsi="Bookman Old Style" w:cs="Arial"/>
                <w:b/>
                <w:lang w:eastAsia="it-IT"/>
              </w:rPr>
              <w:t xml:space="preserve">costituzionali </w:t>
            </w:r>
            <w:r>
              <w:rPr>
                <w:rFonts w:ascii="Bookman Old Style" w:eastAsia="Times New Roman" w:hAnsi="Bookman Old Style" w:cs="Arial"/>
                <w:b/>
                <w:lang w:eastAsia="it-IT"/>
              </w:rPr>
              <w:t xml:space="preserve">concernenti lo statuto speciale </w:t>
            </w:r>
            <w:r w:rsidRPr="00E54D7E">
              <w:rPr>
                <w:rFonts w:ascii="Bookman Old Style" w:eastAsia="Times New Roman" w:hAnsi="Bookman Old Style" w:cs="Arial"/>
                <w:b/>
                <w:lang w:eastAsia="it-IT"/>
              </w:rPr>
              <w:t>per il</w:t>
            </w:r>
            <w:r>
              <w:rPr>
                <w:rFonts w:ascii="Bookman Old Style" w:eastAsia="Times New Roman" w:hAnsi="Bookman Old Style" w:cs="Arial"/>
                <w:b/>
                <w:lang w:eastAsia="it-IT"/>
              </w:rPr>
              <w:t xml:space="preserve"> Trentino Alto-Adige, di cui al </w:t>
            </w:r>
            <w:r w:rsidRPr="00E54D7E">
              <w:rPr>
                <w:rFonts w:ascii="Bookman Old Style" w:eastAsia="Times New Roman" w:hAnsi="Bookman Old Style" w:cs="Arial"/>
                <w:b/>
                <w:lang w:eastAsia="it-IT"/>
              </w:rPr>
              <w:t>decreto del</w:t>
            </w:r>
            <w:r>
              <w:rPr>
                <w:rFonts w:ascii="Bookman Old Style" w:eastAsia="Times New Roman" w:hAnsi="Bookman Old Style" w:cs="Arial"/>
                <w:b/>
                <w:lang w:eastAsia="it-IT"/>
              </w:rPr>
              <w:t xml:space="preserve"> Presidente della Repubblica 31 </w:t>
            </w:r>
            <w:r w:rsidRPr="00E54D7E">
              <w:rPr>
                <w:rFonts w:ascii="Bookman Old Style" w:eastAsia="Times New Roman" w:hAnsi="Bookman Old Style" w:cs="Arial"/>
                <w:b/>
                <w:lang w:eastAsia="it-IT"/>
              </w:rPr>
              <w:t>agosto 1972</w:t>
            </w:r>
            <w:r>
              <w:rPr>
                <w:rFonts w:ascii="Bookman Old Style" w:eastAsia="Times New Roman" w:hAnsi="Bookman Old Style" w:cs="Arial"/>
                <w:b/>
                <w:lang w:eastAsia="it-IT"/>
              </w:rPr>
              <w:t xml:space="preserve">, n. 670, può essere assicurato </w:t>
            </w:r>
            <w:r w:rsidRPr="00E54D7E">
              <w:rPr>
                <w:rFonts w:ascii="Bookman Old Style" w:eastAsia="Times New Roman" w:hAnsi="Bookman Old Style" w:cs="Arial"/>
                <w:b/>
                <w:lang w:eastAsia="it-IT"/>
              </w:rPr>
              <w:t>attravers</w:t>
            </w:r>
            <w:r>
              <w:rPr>
                <w:rFonts w:ascii="Bookman Old Style" w:eastAsia="Times New Roman" w:hAnsi="Bookman Old Style" w:cs="Arial"/>
                <w:b/>
                <w:lang w:eastAsia="it-IT"/>
              </w:rPr>
              <w:t xml:space="preserve">o contributi posti a carico dei </w:t>
            </w:r>
            <w:r w:rsidRPr="00E54D7E">
              <w:rPr>
                <w:rFonts w:ascii="Bookman Old Style" w:eastAsia="Times New Roman" w:hAnsi="Bookman Old Style" w:cs="Arial"/>
                <w:b/>
                <w:lang w:eastAsia="it-IT"/>
              </w:rPr>
              <w:t xml:space="preserve">medesimi enti </w:t>
            </w:r>
            <w:r>
              <w:rPr>
                <w:rFonts w:ascii="Bookman Old Style" w:eastAsia="Times New Roman" w:hAnsi="Bookman Old Style" w:cs="Arial"/>
                <w:b/>
                <w:lang w:eastAsia="it-IT"/>
              </w:rPr>
              <w:t xml:space="preserve">da corrispondere anche mediante compensazioni a valere su somme </w:t>
            </w:r>
            <w:r w:rsidRPr="00E54D7E">
              <w:rPr>
                <w:rFonts w:ascii="Bookman Old Style" w:eastAsia="Times New Roman" w:hAnsi="Bookman Old Style" w:cs="Arial"/>
                <w:b/>
                <w:lang w:eastAsia="it-IT"/>
              </w:rPr>
              <w:t>dovute dall</w:t>
            </w:r>
            <w:r>
              <w:rPr>
                <w:rFonts w:ascii="Bookman Old Style" w:eastAsia="Times New Roman" w:hAnsi="Bookman Old Style" w:cs="Arial"/>
                <w:b/>
                <w:lang w:eastAsia="it-IT"/>
              </w:rPr>
              <w:t xml:space="preserve">o Stato a qualsiasi titolo, con </w:t>
            </w:r>
            <w:r w:rsidRPr="00E54D7E">
              <w:rPr>
                <w:rFonts w:ascii="Bookman Old Style" w:eastAsia="Times New Roman" w:hAnsi="Bookman Old Style" w:cs="Arial"/>
                <w:b/>
                <w:lang w:eastAsia="it-IT"/>
              </w:rPr>
              <w:t>esclusion</w:t>
            </w:r>
            <w:r>
              <w:rPr>
                <w:rFonts w:ascii="Bookman Old Style" w:eastAsia="Times New Roman" w:hAnsi="Bookman Old Style" w:cs="Arial"/>
                <w:b/>
                <w:lang w:eastAsia="it-IT"/>
              </w:rPr>
              <w:t xml:space="preserve">e dei residui passivi perenti e </w:t>
            </w:r>
            <w:r w:rsidRPr="00E54D7E">
              <w:rPr>
                <w:rFonts w:ascii="Bookman Old Style" w:eastAsia="Times New Roman" w:hAnsi="Bookman Old Style" w:cs="Arial"/>
                <w:b/>
                <w:lang w:eastAsia="it-IT"/>
              </w:rPr>
              <w:t>compresi i gettiti a</w:t>
            </w:r>
            <w:r>
              <w:rPr>
                <w:rFonts w:ascii="Bookman Old Style" w:eastAsia="Times New Roman" w:hAnsi="Bookman Old Style" w:cs="Arial"/>
                <w:b/>
                <w:lang w:eastAsia="it-IT"/>
              </w:rPr>
              <w:t xml:space="preserve">rretrati inerenti a devoluzioni </w:t>
            </w:r>
            <w:r w:rsidRPr="00E54D7E">
              <w:rPr>
                <w:rFonts w:ascii="Bookman Old Style" w:eastAsia="Times New Roman" w:hAnsi="Bookman Old Style" w:cs="Arial"/>
                <w:b/>
                <w:lang w:eastAsia="it-IT"/>
              </w:rPr>
              <w:t xml:space="preserve">di </w:t>
            </w:r>
            <w:r>
              <w:rPr>
                <w:rFonts w:ascii="Bookman Old Style" w:eastAsia="Times New Roman" w:hAnsi="Bookman Old Style" w:cs="Arial"/>
                <w:b/>
                <w:lang w:eastAsia="it-IT"/>
              </w:rPr>
              <w:t xml:space="preserve">tributi erariali, previa intesa </w:t>
            </w:r>
            <w:r w:rsidRPr="00E54D7E">
              <w:rPr>
                <w:rFonts w:ascii="Bookman Old Style" w:eastAsia="Times New Roman" w:hAnsi="Bookman Old Style" w:cs="Arial"/>
                <w:b/>
                <w:lang w:eastAsia="it-IT"/>
              </w:rPr>
              <w:t>tra ciascun en</w:t>
            </w:r>
            <w:r>
              <w:rPr>
                <w:rFonts w:ascii="Bookman Old Style" w:eastAsia="Times New Roman" w:hAnsi="Bookman Old Style" w:cs="Arial"/>
                <w:b/>
                <w:lang w:eastAsia="it-IT"/>
              </w:rPr>
              <w:t xml:space="preserve">te e il Ministero dell’economia </w:t>
            </w:r>
            <w:r w:rsidRPr="00E54D7E">
              <w:rPr>
                <w:rFonts w:ascii="Bookman Old Style" w:eastAsia="Times New Roman" w:hAnsi="Bookman Old Style" w:cs="Arial"/>
                <w:b/>
                <w:lang w:eastAsia="it-IT"/>
              </w:rPr>
              <w:t>e del</w:t>
            </w:r>
            <w:r>
              <w:rPr>
                <w:rFonts w:ascii="Bookman Old Style" w:eastAsia="Times New Roman" w:hAnsi="Bookman Old Style" w:cs="Arial"/>
                <w:b/>
                <w:lang w:eastAsia="it-IT"/>
              </w:rPr>
              <w:t xml:space="preserve">le finanze – Dipartimento della </w:t>
            </w:r>
            <w:r w:rsidRPr="00E54D7E">
              <w:rPr>
                <w:rFonts w:ascii="Bookman Old Style" w:eastAsia="Times New Roman" w:hAnsi="Bookman Old Style" w:cs="Arial"/>
                <w:b/>
                <w:lang w:eastAsia="it-IT"/>
              </w:rPr>
              <w:t>Ragioneria ge</w:t>
            </w:r>
            <w:r>
              <w:rPr>
                <w:rFonts w:ascii="Bookman Old Style" w:eastAsia="Times New Roman" w:hAnsi="Bookman Old Style" w:cs="Arial"/>
                <w:b/>
                <w:lang w:eastAsia="it-IT"/>
              </w:rPr>
              <w:t xml:space="preserve">nerale dello Stato, entro il 30 </w:t>
            </w:r>
            <w:r w:rsidRPr="00E54D7E">
              <w:rPr>
                <w:rFonts w:ascii="Bookman Old Style" w:eastAsia="Times New Roman" w:hAnsi="Bookman Old Style" w:cs="Arial"/>
                <w:b/>
                <w:lang w:eastAsia="it-IT"/>
              </w:rPr>
              <w:t>aprile di ogni anno.</w:t>
            </w:r>
          </w:p>
        </w:tc>
        <w:tc>
          <w:tcPr>
            <w:tcW w:w="7214" w:type="dxa"/>
            <w:gridSpan w:val="2"/>
          </w:tcPr>
          <w:p w:rsidR="00E54D7E" w:rsidRPr="00B0126D" w:rsidRDefault="00E54D7E" w:rsidP="00D53E9C">
            <w:pPr>
              <w:jc w:val="both"/>
              <w:rPr>
                <w:rFonts w:ascii="Bookman Old Style" w:hAnsi="Bookman Old Style"/>
                <w:i/>
                <w:color w:val="000000"/>
              </w:rPr>
            </w:pPr>
          </w:p>
        </w:tc>
      </w:tr>
      <w:tr w:rsidR="00E54D7E" w:rsidTr="006E24E5">
        <w:tc>
          <w:tcPr>
            <w:tcW w:w="7213" w:type="dxa"/>
            <w:gridSpan w:val="3"/>
          </w:tcPr>
          <w:p w:rsidR="00E54D7E" w:rsidRPr="00E54D7E" w:rsidRDefault="00E54D7E" w:rsidP="00E54D7E">
            <w:pPr>
              <w:shd w:val="clear" w:color="auto" w:fill="FFFFFF"/>
              <w:jc w:val="both"/>
              <w:rPr>
                <w:rFonts w:ascii="Bookman Old Style" w:eastAsia="Times New Roman" w:hAnsi="Bookman Old Style" w:cs="Arial"/>
                <w:b/>
                <w:lang w:eastAsia="it-IT"/>
              </w:rPr>
            </w:pPr>
            <w:r w:rsidRPr="00E54D7E">
              <w:rPr>
                <w:rFonts w:ascii="Bookman Old Style" w:eastAsia="Times New Roman" w:hAnsi="Bookman Old Style" w:cs="Arial"/>
                <w:b/>
                <w:lang w:eastAsia="it-IT"/>
              </w:rPr>
              <w:lastRenderedPageBreak/>
              <w:t xml:space="preserve">504. </w:t>
            </w:r>
            <w:r>
              <w:rPr>
                <w:rFonts w:ascii="Bookman Old Style" w:eastAsia="Times New Roman" w:hAnsi="Bookman Old Style" w:cs="Arial"/>
                <w:b/>
                <w:lang w:eastAsia="it-IT"/>
              </w:rPr>
              <w:t xml:space="preserve">Le disposizioni dei commi 502 e </w:t>
            </w:r>
            <w:r w:rsidRPr="00E54D7E">
              <w:rPr>
                <w:rFonts w:ascii="Bookman Old Style" w:eastAsia="Times New Roman" w:hAnsi="Bookman Old Style" w:cs="Arial"/>
                <w:b/>
                <w:lang w:eastAsia="it-IT"/>
              </w:rPr>
              <w:t>503 sono appro</w:t>
            </w:r>
            <w:r>
              <w:rPr>
                <w:rFonts w:ascii="Bookman Old Style" w:eastAsia="Times New Roman" w:hAnsi="Bookman Old Style" w:cs="Arial"/>
                <w:b/>
                <w:lang w:eastAsia="it-IT"/>
              </w:rPr>
              <w:t xml:space="preserve">vate ai sensi e per gli effetti </w:t>
            </w:r>
            <w:r w:rsidRPr="00E54D7E">
              <w:rPr>
                <w:rFonts w:ascii="Bookman Old Style" w:eastAsia="Times New Roman" w:hAnsi="Bookman Old Style" w:cs="Arial"/>
                <w:b/>
                <w:lang w:eastAsia="it-IT"/>
              </w:rPr>
              <w:t>dell’articolo 104 del testo unico di cui al decreto del</w:t>
            </w:r>
            <w:r>
              <w:rPr>
                <w:rFonts w:ascii="Bookman Old Style" w:eastAsia="Times New Roman" w:hAnsi="Bookman Old Style" w:cs="Arial"/>
                <w:b/>
                <w:lang w:eastAsia="it-IT"/>
              </w:rPr>
              <w:t xml:space="preserve"> Presidente della Repubblica 31 </w:t>
            </w:r>
            <w:r w:rsidRPr="00E54D7E">
              <w:rPr>
                <w:rFonts w:ascii="Bookman Old Style" w:eastAsia="Times New Roman" w:hAnsi="Bookman Old Style" w:cs="Arial"/>
                <w:b/>
                <w:lang w:eastAsia="it-IT"/>
              </w:rPr>
              <w:t>agosto 1972, n. 670.</w:t>
            </w:r>
          </w:p>
        </w:tc>
        <w:tc>
          <w:tcPr>
            <w:tcW w:w="7214" w:type="dxa"/>
            <w:gridSpan w:val="2"/>
          </w:tcPr>
          <w:p w:rsidR="00E54D7E" w:rsidRPr="00B0126D" w:rsidRDefault="00E54D7E" w:rsidP="00D53E9C">
            <w:pPr>
              <w:jc w:val="both"/>
              <w:rPr>
                <w:rFonts w:ascii="Bookman Old Style" w:hAnsi="Bookman Old Style"/>
                <w:i/>
                <w:color w:val="000000"/>
              </w:rPr>
            </w:pPr>
          </w:p>
        </w:tc>
      </w:tr>
      <w:tr w:rsidR="00E54D7E" w:rsidTr="006E24E5">
        <w:tc>
          <w:tcPr>
            <w:tcW w:w="7213" w:type="dxa"/>
            <w:gridSpan w:val="3"/>
          </w:tcPr>
          <w:p w:rsidR="00E54D7E" w:rsidRPr="00E54D7E" w:rsidRDefault="00E54D7E" w:rsidP="00E54D7E">
            <w:pPr>
              <w:shd w:val="clear" w:color="auto" w:fill="FFFFFF"/>
              <w:jc w:val="both"/>
              <w:rPr>
                <w:rFonts w:ascii="Bookman Old Style" w:eastAsia="Times New Roman" w:hAnsi="Bookman Old Style" w:cs="Arial"/>
                <w:b/>
                <w:lang w:eastAsia="it-IT"/>
              </w:rPr>
            </w:pPr>
            <w:r w:rsidRPr="00E54D7E">
              <w:rPr>
                <w:rFonts w:ascii="Bookman Old Style" w:eastAsia="Times New Roman" w:hAnsi="Bookman Old Style" w:cs="Arial"/>
                <w:b/>
                <w:lang w:eastAsia="it-IT"/>
              </w:rPr>
              <w:t>505. Alla compe</w:t>
            </w:r>
            <w:r>
              <w:rPr>
                <w:rFonts w:ascii="Bookman Old Style" w:eastAsia="Times New Roman" w:hAnsi="Bookman Old Style" w:cs="Arial"/>
                <w:b/>
                <w:lang w:eastAsia="it-IT"/>
              </w:rPr>
              <w:t xml:space="preserve">nsazione degli effetti finanziari in termini di fabbisogno e di </w:t>
            </w:r>
            <w:r w:rsidRPr="00E54D7E">
              <w:rPr>
                <w:rFonts w:ascii="Bookman Old Style" w:eastAsia="Times New Roman" w:hAnsi="Bookman Old Style" w:cs="Arial"/>
                <w:b/>
                <w:lang w:eastAsia="it-IT"/>
              </w:rPr>
              <w:t>indebita</w:t>
            </w:r>
            <w:r>
              <w:rPr>
                <w:rFonts w:ascii="Bookman Old Style" w:eastAsia="Times New Roman" w:hAnsi="Bookman Old Style" w:cs="Arial"/>
                <w:b/>
                <w:lang w:eastAsia="it-IT"/>
              </w:rPr>
              <w:t xml:space="preserve">mento netto derivanti dal comma </w:t>
            </w:r>
            <w:r w:rsidRPr="00E54D7E">
              <w:rPr>
                <w:rFonts w:ascii="Bookman Old Style" w:eastAsia="Times New Roman" w:hAnsi="Bookman Old Style" w:cs="Arial"/>
                <w:b/>
                <w:lang w:eastAsia="it-IT"/>
              </w:rPr>
              <w:t>502, pari a</w:t>
            </w:r>
            <w:r>
              <w:rPr>
                <w:rFonts w:ascii="Bookman Old Style" w:eastAsia="Times New Roman" w:hAnsi="Bookman Old Style" w:cs="Arial"/>
                <w:b/>
                <w:lang w:eastAsia="it-IT"/>
              </w:rPr>
              <w:t xml:space="preserve"> 50 milioni di euro nel 2017, a </w:t>
            </w:r>
            <w:r w:rsidRPr="00E54D7E">
              <w:rPr>
                <w:rFonts w:ascii="Bookman Old Style" w:eastAsia="Times New Roman" w:hAnsi="Bookman Old Style" w:cs="Arial"/>
                <w:b/>
                <w:lang w:eastAsia="it-IT"/>
              </w:rPr>
              <w:t>73 milioni di</w:t>
            </w:r>
            <w:r>
              <w:rPr>
                <w:rFonts w:ascii="Bookman Old Style" w:eastAsia="Times New Roman" w:hAnsi="Bookman Old Style" w:cs="Arial"/>
                <w:b/>
                <w:lang w:eastAsia="it-IT"/>
              </w:rPr>
              <w:t xml:space="preserve"> euro nel 2018, a 98 milioni di </w:t>
            </w:r>
            <w:r w:rsidRPr="00E54D7E">
              <w:rPr>
                <w:rFonts w:ascii="Bookman Old Style" w:eastAsia="Times New Roman" w:hAnsi="Bookman Old Style" w:cs="Arial"/>
                <w:b/>
                <w:lang w:eastAsia="it-IT"/>
              </w:rPr>
              <w:t xml:space="preserve">euro nel </w:t>
            </w:r>
            <w:r>
              <w:rPr>
                <w:rFonts w:ascii="Bookman Old Style" w:eastAsia="Times New Roman" w:hAnsi="Bookman Old Style" w:cs="Arial"/>
                <w:b/>
                <w:lang w:eastAsia="it-IT"/>
              </w:rPr>
              <w:t xml:space="preserve">2019, a 103 milioni di euro nel </w:t>
            </w:r>
            <w:r w:rsidRPr="00E54D7E">
              <w:rPr>
                <w:rFonts w:ascii="Bookman Old Style" w:eastAsia="Times New Roman" w:hAnsi="Bookman Old Style" w:cs="Arial"/>
                <w:b/>
                <w:lang w:eastAsia="it-IT"/>
              </w:rPr>
              <w:t xml:space="preserve">2020, a 101 milioni di </w:t>
            </w:r>
            <w:r>
              <w:rPr>
                <w:rFonts w:ascii="Bookman Old Style" w:eastAsia="Times New Roman" w:hAnsi="Bookman Old Style" w:cs="Arial"/>
                <w:b/>
                <w:lang w:eastAsia="it-IT"/>
              </w:rPr>
              <w:t xml:space="preserve">euro nel 2021, a 100 </w:t>
            </w:r>
            <w:r w:rsidRPr="00E54D7E">
              <w:rPr>
                <w:rFonts w:ascii="Bookman Old Style" w:eastAsia="Times New Roman" w:hAnsi="Bookman Old Style" w:cs="Arial"/>
                <w:b/>
                <w:lang w:eastAsia="it-IT"/>
              </w:rPr>
              <w:t>milioni di</w:t>
            </w:r>
            <w:r>
              <w:rPr>
                <w:rFonts w:ascii="Bookman Old Style" w:eastAsia="Times New Roman" w:hAnsi="Bookman Old Style" w:cs="Arial"/>
                <w:b/>
                <w:lang w:eastAsia="it-IT"/>
              </w:rPr>
              <w:t xml:space="preserve"> euro annui dal 2022 al 2030, a </w:t>
            </w:r>
            <w:r w:rsidRPr="00E54D7E">
              <w:rPr>
                <w:rFonts w:ascii="Bookman Old Style" w:eastAsia="Times New Roman" w:hAnsi="Bookman Old Style" w:cs="Arial"/>
                <w:b/>
                <w:lang w:eastAsia="it-IT"/>
              </w:rPr>
              <w:t>65 milioni di</w:t>
            </w:r>
            <w:r>
              <w:rPr>
                <w:rFonts w:ascii="Bookman Old Style" w:eastAsia="Times New Roman" w:hAnsi="Bookman Old Style" w:cs="Arial"/>
                <w:b/>
                <w:lang w:eastAsia="it-IT"/>
              </w:rPr>
              <w:t xml:space="preserve"> euro nel 2031, a 38 milioni di </w:t>
            </w:r>
            <w:r w:rsidRPr="00E54D7E">
              <w:rPr>
                <w:rFonts w:ascii="Bookman Old Style" w:eastAsia="Times New Roman" w:hAnsi="Bookman Old Style" w:cs="Arial"/>
                <w:b/>
                <w:lang w:eastAsia="it-IT"/>
              </w:rPr>
              <w:t xml:space="preserve">euro nel </w:t>
            </w:r>
            <w:r>
              <w:rPr>
                <w:rFonts w:ascii="Bookman Old Style" w:eastAsia="Times New Roman" w:hAnsi="Bookman Old Style" w:cs="Arial"/>
                <w:b/>
                <w:lang w:eastAsia="it-IT"/>
              </w:rPr>
              <w:t xml:space="preserve">2032 e a 12 milioni di euro nel </w:t>
            </w:r>
            <w:r w:rsidRPr="00E54D7E">
              <w:rPr>
                <w:rFonts w:ascii="Bookman Old Style" w:eastAsia="Times New Roman" w:hAnsi="Bookman Old Style" w:cs="Arial"/>
                <w:b/>
                <w:lang w:eastAsia="it-IT"/>
              </w:rPr>
              <w:t>2033, si p</w:t>
            </w:r>
            <w:r>
              <w:rPr>
                <w:rFonts w:ascii="Bookman Old Style" w:eastAsia="Times New Roman" w:hAnsi="Bookman Old Style" w:cs="Arial"/>
                <w:b/>
                <w:lang w:eastAsia="it-IT"/>
              </w:rPr>
              <w:t xml:space="preserve">rovvede mediante corrispondente </w:t>
            </w:r>
            <w:r w:rsidRPr="00E54D7E">
              <w:rPr>
                <w:rFonts w:ascii="Bookman Old Style" w:eastAsia="Times New Roman" w:hAnsi="Bookman Old Style" w:cs="Arial"/>
                <w:b/>
                <w:lang w:eastAsia="it-IT"/>
              </w:rPr>
              <w:t>riduzione</w:t>
            </w:r>
            <w:r>
              <w:rPr>
                <w:rFonts w:ascii="Bookman Old Style" w:eastAsia="Times New Roman" w:hAnsi="Bookman Old Style" w:cs="Arial"/>
                <w:b/>
                <w:lang w:eastAsia="it-IT"/>
              </w:rPr>
              <w:t xml:space="preserve"> del Fondo per la compensazione </w:t>
            </w:r>
            <w:r w:rsidRPr="00E54D7E">
              <w:rPr>
                <w:rFonts w:ascii="Bookman Old Style" w:eastAsia="Times New Roman" w:hAnsi="Bookman Old Style" w:cs="Arial"/>
                <w:b/>
                <w:lang w:eastAsia="it-IT"/>
              </w:rPr>
              <w:t>degli effetti finanzi</w:t>
            </w:r>
            <w:r>
              <w:rPr>
                <w:rFonts w:ascii="Bookman Old Style" w:eastAsia="Times New Roman" w:hAnsi="Bookman Old Style" w:cs="Arial"/>
                <w:b/>
                <w:lang w:eastAsia="it-IT"/>
              </w:rPr>
              <w:t xml:space="preserve">ari non previsti a legislazione </w:t>
            </w:r>
            <w:r w:rsidRPr="00E54D7E">
              <w:rPr>
                <w:rFonts w:ascii="Bookman Old Style" w:eastAsia="Times New Roman" w:hAnsi="Bookman Old Style" w:cs="Arial"/>
                <w:b/>
                <w:lang w:eastAsia="it-IT"/>
              </w:rPr>
              <w:t xml:space="preserve">vigente </w:t>
            </w:r>
            <w:r>
              <w:rPr>
                <w:rFonts w:ascii="Bookman Old Style" w:eastAsia="Times New Roman" w:hAnsi="Bookman Old Style" w:cs="Arial"/>
                <w:b/>
                <w:lang w:eastAsia="it-IT"/>
              </w:rPr>
              <w:t xml:space="preserve">conseguenti all’attualizzazione </w:t>
            </w:r>
            <w:r w:rsidRPr="00E54D7E">
              <w:rPr>
                <w:rFonts w:ascii="Bookman Old Style" w:eastAsia="Times New Roman" w:hAnsi="Bookman Old Style" w:cs="Arial"/>
                <w:b/>
                <w:lang w:eastAsia="it-IT"/>
              </w:rPr>
              <w:t>di contributi p</w:t>
            </w:r>
            <w:r>
              <w:rPr>
                <w:rFonts w:ascii="Bookman Old Style" w:eastAsia="Times New Roman" w:hAnsi="Bookman Old Style" w:cs="Arial"/>
                <w:b/>
                <w:lang w:eastAsia="it-IT"/>
              </w:rPr>
              <w:t xml:space="preserve">luriennali, di cui all’articolo 6, comma 2, del decreto-legge 7 </w:t>
            </w:r>
            <w:r w:rsidRPr="00E54D7E">
              <w:rPr>
                <w:rFonts w:ascii="Bookman Old Style" w:eastAsia="Times New Roman" w:hAnsi="Bookman Old Style" w:cs="Arial"/>
                <w:b/>
                <w:lang w:eastAsia="it-IT"/>
              </w:rPr>
              <w:t>ottobre 2008, n. 154,</w:t>
            </w:r>
            <w:r>
              <w:rPr>
                <w:rFonts w:ascii="Bookman Old Style" w:eastAsia="Times New Roman" w:hAnsi="Bookman Old Style" w:cs="Arial"/>
                <w:b/>
                <w:lang w:eastAsia="it-IT"/>
              </w:rPr>
              <w:t xml:space="preserve"> convertito, con modificazioni, dalla legge 4 dicembre 2008, </w:t>
            </w:r>
            <w:r w:rsidRPr="00E54D7E">
              <w:rPr>
                <w:rFonts w:ascii="Bookman Old Style" w:eastAsia="Times New Roman" w:hAnsi="Bookman Old Style" w:cs="Arial"/>
                <w:b/>
                <w:lang w:eastAsia="it-IT"/>
              </w:rPr>
              <w:t>n. 189.</w:t>
            </w:r>
          </w:p>
        </w:tc>
        <w:tc>
          <w:tcPr>
            <w:tcW w:w="7214" w:type="dxa"/>
            <w:gridSpan w:val="2"/>
          </w:tcPr>
          <w:p w:rsidR="00E54D7E" w:rsidRPr="00B0126D" w:rsidRDefault="00E54D7E" w:rsidP="00D53E9C">
            <w:pPr>
              <w:jc w:val="both"/>
              <w:rPr>
                <w:rFonts w:ascii="Bookman Old Style" w:hAnsi="Bookman Old Style"/>
                <w:i/>
                <w:color w:val="000000"/>
              </w:rPr>
            </w:pPr>
          </w:p>
        </w:tc>
      </w:tr>
      <w:tr w:rsidR="00D53E9C" w:rsidTr="006E24E5">
        <w:tc>
          <w:tcPr>
            <w:tcW w:w="7213" w:type="dxa"/>
            <w:gridSpan w:val="3"/>
          </w:tcPr>
          <w:p w:rsidR="00D53E9C" w:rsidRPr="00E847D3" w:rsidRDefault="00E54D7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506</w:t>
            </w:r>
            <w:r w:rsidR="00D53E9C" w:rsidRPr="00E847D3">
              <w:rPr>
                <w:rFonts w:ascii="Bookman Old Style" w:eastAsia="Times New Roman" w:hAnsi="Bookman Old Style" w:cs="Arial"/>
                <w:lang w:eastAsia="it-IT"/>
              </w:rPr>
              <w:t>. Alle regioni e alle province autonome di Trento e di Bolzano che non sanciscono l'intesa regionale disciplinata dal decreto del Presidente del Consiglio dei ministri di cui all'</w:t>
            </w:r>
            <w:hyperlink r:id="rId96" w:anchor="art10-com5" w:tgtFrame="rifNormativi" w:history="1">
              <w:r w:rsidR="00D53E9C" w:rsidRPr="00CF63B8">
                <w:rPr>
                  <w:rFonts w:ascii="Bookman Old Style" w:eastAsia="Times New Roman" w:hAnsi="Bookman Old Style" w:cs="Arial"/>
                  <w:lang w:eastAsia="it-IT"/>
                </w:rPr>
                <w:t>articolo 10, comma 5, della legge 24 dicembre 2012, n. 243</w:t>
              </w:r>
            </w:hyperlink>
            <w:r w:rsidR="00D53E9C" w:rsidRPr="00E847D3">
              <w:rPr>
                <w:rFonts w:ascii="Bookman Old Style" w:eastAsia="Times New Roman" w:hAnsi="Bookman Old Style" w:cs="Arial"/>
                <w:lang w:eastAsia="it-IT"/>
              </w:rPr>
              <w:t xml:space="preserve">, si applicano, </w:t>
            </w:r>
            <w:r w:rsidR="00D53E9C" w:rsidRPr="00E847D3">
              <w:rPr>
                <w:rFonts w:ascii="Bookman Old Style" w:eastAsia="Times New Roman" w:hAnsi="Bookman Old Style" w:cs="Arial"/>
                <w:lang w:eastAsia="it-IT"/>
              </w:rPr>
              <w:lastRenderedPageBreak/>
              <w:t>nell'esercizio al quale si riferisce la mancata intesa</w:t>
            </w:r>
            <w:r>
              <w:rPr>
                <w:rFonts w:ascii="Bookman Old Style" w:eastAsia="Times New Roman" w:hAnsi="Bookman Old Style" w:cs="Arial"/>
                <w:lang w:eastAsia="it-IT"/>
              </w:rPr>
              <w:t>, le sanzioni di cui al comma 475</w:t>
            </w:r>
            <w:r w:rsidR="00D53E9C" w:rsidRPr="00E847D3">
              <w:rPr>
                <w:rFonts w:ascii="Bookman Old Style" w:eastAsia="Times New Roman" w:hAnsi="Bookman Old Style" w:cs="Arial"/>
                <w:lang w:eastAsia="it-IT"/>
              </w:rPr>
              <w:t>, lettere</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c)</w:t>
            </w:r>
            <w:r w:rsidR="00D53E9C" w:rsidRPr="00CF63B8">
              <w:rPr>
                <w:rFonts w:ascii="Bookman Old Style" w:eastAsia="Times New Roman" w:hAnsi="Bookman Old Style" w:cs="Arial"/>
                <w:lang w:eastAsia="it-IT"/>
              </w:rPr>
              <w:t> </w:t>
            </w:r>
            <w:r w:rsidR="00D53E9C" w:rsidRPr="00E847D3">
              <w:rPr>
                <w:rFonts w:ascii="Bookman Old Style" w:eastAsia="Times New Roman" w:hAnsi="Bookman Old Style" w:cs="Arial"/>
                <w:lang w:eastAsia="it-IT"/>
              </w:rPr>
              <w:t>ed</w:t>
            </w:r>
            <w:r w:rsidR="00D53E9C" w:rsidRPr="00CF63B8">
              <w:rPr>
                <w:rFonts w:ascii="Bookman Old Style" w:eastAsia="Times New Roman" w:hAnsi="Bookman Old Style" w:cs="Arial"/>
                <w:lang w:eastAsia="it-IT"/>
              </w:rPr>
              <w:t> </w:t>
            </w:r>
            <w:r w:rsidR="00D53E9C" w:rsidRPr="00CF63B8">
              <w:rPr>
                <w:rFonts w:ascii="Bookman Old Style" w:eastAsia="Times New Roman" w:hAnsi="Bookman Old Style" w:cs="Arial"/>
                <w:i/>
                <w:iCs/>
                <w:lang w:eastAsia="it-IT"/>
              </w:rPr>
              <w:t>e)</w:t>
            </w:r>
            <w:r w:rsidR="00D53E9C" w:rsidRPr="00E847D3">
              <w:rPr>
                <w:rFonts w:ascii="Bookman Old Style" w:eastAsia="Times New Roman" w:hAnsi="Bookman Old Style" w:cs="Arial"/>
                <w:lang w:eastAsia="it-IT"/>
              </w:rPr>
              <w:t>, del presente articolo.</w:t>
            </w:r>
          </w:p>
        </w:tc>
        <w:tc>
          <w:tcPr>
            <w:tcW w:w="7214" w:type="dxa"/>
            <w:gridSpan w:val="2"/>
          </w:tcPr>
          <w:p w:rsidR="00D53E9C" w:rsidRPr="00B0126D" w:rsidRDefault="00D53E9C" w:rsidP="00D53E9C">
            <w:pPr>
              <w:jc w:val="both"/>
              <w:rPr>
                <w:rFonts w:ascii="Bookman Old Style" w:hAnsi="Bookman Old Style"/>
                <w:i/>
                <w:color w:val="000000"/>
              </w:rPr>
            </w:pPr>
          </w:p>
        </w:tc>
      </w:tr>
      <w:tr w:rsidR="00D53E9C" w:rsidTr="006E24E5">
        <w:tc>
          <w:tcPr>
            <w:tcW w:w="7213" w:type="dxa"/>
            <w:gridSpan w:val="3"/>
          </w:tcPr>
          <w:p w:rsidR="00D53E9C" w:rsidRPr="00E847D3" w:rsidRDefault="00E54D7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lastRenderedPageBreak/>
              <w:t>507</w:t>
            </w:r>
            <w:r w:rsidR="00D53E9C" w:rsidRPr="00E847D3">
              <w:rPr>
                <w:rFonts w:ascii="Bookman Old Style" w:eastAsia="Times New Roman" w:hAnsi="Bookman Old Style" w:cs="Arial"/>
                <w:lang w:eastAsia="it-IT"/>
              </w:rPr>
              <w:t>. Qualora gli spazi finanziari concessi in attuazione delle intese e dei patti di solidarietà previsti dal decreto del Presidente del Consiglio dei ministri di cui all'</w:t>
            </w:r>
            <w:hyperlink r:id="rId97" w:anchor="art10-com5" w:tgtFrame="rifNormativi" w:history="1">
              <w:r w:rsidR="00D53E9C" w:rsidRPr="00CF63B8">
                <w:rPr>
                  <w:rFonts w:ascii="Bookman Old Style" w:eastAsia="Times New Roman" w:hAnsi="Bookman Old Style" w:cs="Arial"/>
                  <w:lang w:eastAsia="it-IT"/>
                </w:rPr>
                <w:t>articolo 10, comma 5, della legge 24 dicembre 2012, n. 243</w:t>
              </w:r>
            </w:hyperlink>
            <w:r w:rsidR="00D53E9C" w:rsidRPr="00E847D3">
              <w:rPr>
                <w:rFonts w:ascii="Bookman Old Style" w:eastAsia="Times New Roman" w:hAnsi="Bookman Old Style" w:cs="Arial"/>
                <w:lang w:eastAsia="it-IT"/>
              </w:rPr>
              <w:t>, non siano totalmente utilizzati, l'ente territoriale non può beneficiare di spazi finanziari nell'esercizio finanziario successivo.</w:t>
            </w:r>
          </w:p>
        </w:tc>
        <w:tc>
          <w:tcPr>
            <w:tcW w:w="7214" w:type="dxa"/>
            <w:gridSpan w:val="2"/>
          </w:tcPr>
          <w:p w:rsidR="00D53E9C" w:rsidRPr="00B0126D" w:rsidRDefault="00E54D7E" w:rsidP="00D53E9C">
            <w:pPr>
              <w:jc w:val="both"/>
              <w:rPr>
                <w:rFonts w:ascii="Bookman Old Style" w:hAnsi="Bookman Old Style"/>
                <w:i/>
                <w:color w:val="000000"/>
              </w:rPr>
            </w:pPr>
            <w:r>
              <w:rPr>
                <w:rFonts w:ascii="Bookman Old Style" w:hAnsi="Bookman Old Style"/>
                <w:i/>
                <w:color w:val="000000"/>
              </w:rPr>
              <w:t xml:space="preserve">Il </w:t>
            </w:r>
            <w:r w:rsidRPr="00E54D7E">
              <w:rPr>
                <w:rFonts w:ascii="Bookman Old Style" w:hAnsi="Bookman Old Style"/>
                <w:b/>
                <w:i/>
                <w:color w:val="000000"/>
              </w:rPr>
              <w:t>comma 507</w:t>
            </w:r>
            <w:r w:rsidR="00D53E9C" w:rsidRPr="00B0126D">
              <w:rPr>
                <w:rFonts w:ascii="Bookman Old Style" w:hAnsi="Bookman Old Style"/>
                <w:i/>
                <w:color w:val="000000"/>
              </w:rPr>
              <w:t xml:space="preserve"> introduce un’ulteriore sanzione/elemento di responsabilizzazione per gli enti territoriali.</w:t>
            </w:r>
          </w:p>
          <w:p w:rsidR="00D53E9C" w:rsidRPr="00B0126D" w:rsidRDefault="00D53E9C" w:rsidP="00D53E9C">
            <w:pPr>
              <w:jc w:val="both"/>
              <w:rPr>
                <w:rFonts w:ascii="Bookman Old Style" w:hAnsi="Bookman Old Style"/>
                <w:i/>
                <w:color w:val="000000"/>
              </w:rPr>
            </w:pPr>
            <w:r w:rsidRPr="00B0126D">
              <w:rPr>
                <w:rFonts w:ascii="Bookman Old Style" w:hAnsi="Bookman Old Style"/>
                <w:i/>
                <w:color w:val="000000"/>
              </w:rPr>
              <w:t xml:space="preserve">In caso di </w:t>
            </w:r>
            <w:r w:rsidRPr="00B0126D">
              <w:rPr>
                <w:rFonts w:ascii="Bookman Old Style" w:hAnsi="Bookman Old Style"/>
                <w:b/>
                <w:i/>
                <w:color w:val="000000"/>
              </w:rPr>
              <w:t>mancato utilizzo, anche solo parziale, degli spazi finanziari ottenuti nell’ambito delle intese e dei patti di solidarietà, infatti, l’ente non potrà beneficiare di spazi finanziari nell’anno successivo</w:t>
            </w:r>
            <w:r w:rsidRPr="00B0126D">
              <w:rPr>
                <w:rFonts w:ascii="Bookman Old Style" w:hAnsi="Bookman Old Style"/>
                <w:i/>
                <w:color w:val="000000"/>
              </w:rPr>
              <w:t xml:space="preserve">. </w:t>
            </w:r>
          </w:p>
        </w:tc>
      </w:tr>
      <w:tr w:rsidR="00D53E9C" w:rsidTr="006E24E5">
        <w:tc>
          <w:tcPr>
            <w:tcW w:w="7213" w:type="dxa"/>
            <w:gridSpan w:val="3"/>
          </w:tcPr>
          <w:p w:rsidR="00D53E9C" w:rsidRPr="00E847D3" w:rsidRDefault="00E54D7E" w:rsidP="00D53E9C">
            <w:pPr>
              <w:shd w:val="clear" w:color="auto" w:fill="FFFFFF"/>
              <w:jc w:val="both"/>
              <w:rPr>
                <w:rFonts w:ascii="Bookman Old Style" w:eastAsia="Times New Roman" w:hAnsi="Bookman Old Style" w:cs="Arial"/>
                <w:lang w:eastAsia="it-IT"/>
              </w:rPr>
            </w:pPr>
            <w:r>
              <w:rPr>
                <w:rFonts w:ascii="Bookman Old Style" w:eastAsia="Times New Roman" w:hAnsi="Bookman Old Style" w:cs="Arial"/>
                <w:lang w:eastAsia="it-IT"/>
              </w:rPr>
              <w:t>508</w:t>
            </w:r>
            <w:r w:rsidR="00D53E9C" w:rsidRPr="00E847D3">
              <w:rPr>
                <w:rFonts w:ascii="Bookman Old Style" w:eastAsia="Times New Roman" w:hAnsi="Bookman Old Style" w:cs="Arial"/>
                <w:lang w:eastAsia="it-IT"/>
              </w:rPr>
              <w:t>. Qualora l'ente territoriale beneficiario di spazi finanziari concessi in attuazione delle intese e dei patti di solidarietà previsti dal decreto del Presidente del Consiglio dei ministri di cui all'</w:t>
            </w:r>
            <w:hyperlink r:id="rId98" w:anchor="art10-com5" w:tgtFrame="rifNormativi" w:history="1">
              <w:r w:rsidR="00D53E9C" w:rsidRPr="00CF63B8">
                <w:rPr>
                  <w:rFonts w:ascii="Bookman Old Style" w:eastAsia="Times New Roman" w:hAnsi="Bookman Old Style" w:cs="Arial"/>
                  <w:lang w:eastAsia="it-IT"/>
                </w:rPr>
                <w:t>articolo 10, comma 5, della legge 24 dicembre 2012, n. 243</w:t>
              </w:r>
            </w:hyperlink>
            <w:r w:rsidR="00D53E9C" w:rsidRPr="00E847D3">
              <w:rPr>
                <w:rFonts w:ascii="Bookman Old Style" w:eastAsia="Times New Roman" w:hAnsi="Bookman Old Style" w:cs="Arial"/>
                <w:lang w:eastAsia="it-IT"/>
              </w:rPr>
              <w:t>, non effettui la trasmissione delle informazioni richieste dal medesimo decreto del Presidente del Consiglio dei ministri, non può procedere ad assunzioni di personale a tempo indeterminato, anche con riferimento ai processi di stabilizzazione in atto, fino a quando non abbia adempiuto.</w:t>
            </w:r>
          </w:p>
        </w:tc>
        <w:tc>
          <w:tcPr>
            <w:tcW w:w="7214" w:type="dxa"/>
            <w:gridSpan w:val="2"/>
          </w:tcPr>
          <w:p w:rsidR="00D53E9C" w:rsidRDefault="00D53E9C" w:rsidP="00D53E9C">
            <w:pPr>
              <w:jc w:val="both"/>
              <w:rPr>
                <w:rFonts w:ascii="Bookman Old Style" w:eastAsia="Times New Roman" w:hAnsi="Bookman Old Style" w:cs="Arial"/>
                <w:i/>
                <w:lang w:eastAsia="it-IT"/>
              </w:rPr>
            </w:pPr>
            <w:r w:rsidRPr="00B0126D">
              <w:rPr>
                <w:rFonts w:ascii="Bookman Old Style" w:hAnsi="Bookman Old Style"/>
                <w:i/>
                <w:color w:val="000000"/>
              </w:rPr>
              <w:t xml:space="preserve">Nel caso in cui, invece, </w:t>
            </w:r>
            <w:r w:rsidRPr="00B0126D">
              <w:rPr>
                <w:rFonts w:ascii="Bookman Old Style" w:hAnsi="Bookman Old Style"/>
                <w:b/>
                <w:i/>
                <w:color w:val="000000"/>
              </w:rPr>
              <w:t>l’ente territoriale non trasmetta le informazioni richieste relativamente agli spazi finanziari ottenuti nell’ambito delle intese e dei patti di solidarietà</w:t>
            </w:r>
            <w:r w:rsidRPr="00B0126D">
              <w:rPr>
                <w:rFonts w:ascii="Bookman Old Style" w:hAnsi="Bookman Old Style"/>
                <w:i/>
                <w:color w:val="000000"/>
              </w:rPr>
              <w:t xml:space="preserve">, </w:t>
            </w:r>
            <w:r w:rsidRPr="00B0126D">
              <w:rPr>
                <w:rFonts w:ascii="Bookman Old Style" w:hAnsi="Bookman Old Style"/>
                <w:b/>
                <w:i/>
                <w:color w:val="000000"/>
              </w:rPr>
              <w:t xml:space="preserve">non può procedere ad </w:t>
            </w:r>
            <w:r w:rsidRPr="00B0126D">
              <w:rPr>
                <w:rFonts w:ascii="Bookman Old Style" w:eastAsia="Times New Roman" w:hAnsi="Bookman Old Style" w:cs="Arial"/>
                <w:b/>
                <w:i/>
                <w:lang w:eastAsia="it-IT"/>
              </w:rPr>
              <w:t>assunzioni di personale a tempo indeterminato</w:t>
            </w:r>
            <w:r w:rsidRPr="00B0126D">
              <w:rPr>
                <w:rFonts w:ascii="Bookman Old Style" w:eastAsia="Times New Roman" w:hAnsi="Bookman Old Style" w:cs="Arial"/>
                <w:i/>
                <w:lang w:eastAsia="it-IT"/>
              </w:rPr>
              <w:t>, anche con riferimento ai processi di stabilizzazione in atto. Tale limitazione viene meno nel momento in cui l’en</w:t>
            </w:r>
            <w:r w:rsidR="00E54D7E">
              <w:rPr>
                <w:rFonts w:ascii="Bookman Old Style" w:eastAsia="Times New Roman" w:hAnsi="Bookman Old Style" w:cs="Arial"/>
                <w:i/>
                <w:lang w:eastAsia="it-IT"/>
              </w:rPr>
              <w:t>te adempie a tale trasmissione (</w:t>
            </w:r>
            <w:r w:rsidR="00E54D7E" w:rsidRPr="00E54D7E">
              <w:rPr>
                <w:rFonts w:ascii="Bookman Old Style" w:eastAsia="Times New Roman" w:hAnsi="Bookman Old Style" w:cs="Arial"/>
                <w:b/>
                <w:i/>
                <w:lang w:eastAsia="it-IT"/>
              </w:rPr>
              <w:t>Comma 508</w:t>
            </w:r>
            <w:r w:rsidR="00E54D7E">
              <w:rPr>
                <w:rFonts w:ascii="Bookman Old Style" w:eastAsia="Times New Roman" w:hAnsi="Bookman Old Style" w:cs="Arial"/>
                <w:i/>
                <w:lang w:eastAsia="it-IT"/>
              </w:rPr>
              <w:t>).</w:t>
            </w:r>
          </w:p>
          <w:p w:rsidR="00E61052" w:rsidRPr="00B0126D" w:rsidRDefault="00E61052" w:rsidP="00D53E9C">
            <w:pPr>
              <w:jc w:val="both"/>
              <w:rPr>
                <w:rFonts w:ascii="Bookman Old Style" w:hAnsi="Bookman Old Style"/>
                <w:i/>
                <w:color w:val="000000"/>
              </w:rPr>
            </w:pPr>
          </w:p>
        </w:tc>
      </w:tr>
      <w:tr w:rsidR="00E61052" w:rsidTr="008856E3">
        <w:tc>
          <w:tcPr>
            <w:tcW w:w="14427" w:type="dxa"/>
            <w:gridSpan w:val="5"/>
          </w:tcPr>
          <w:p w:rsidR="005E1323" w:rsidRDefault="005E1323" w:rsidP="00E61052">
            <w:pPr>
              <w:jc w:val="center"/>
              <w:rPr>
                <w:rFonts w:ascii="Bookman Old Style" w:hAnsi="Bookman Old Style"/>
                <w:b/>
                <w:i/>
                <w:color w:val="000000"/>
              </w:rPr>
            </w:pPr>
          </w:p>
          <w:p w:rsidR="00E61052" w:rsidRPr="00E61052" w:rsidRDefault="00E61052" w:rsidP="00E61052">
            <w:pPr>
              <w:jc w:val="center"/>
              <w:rPr>
                <w:rFonts w:ascii="Bookman Old Style" w:hAnsi="Bookman Old Style"/>
                <w:b/>
                <w:i/>
                <w:color w:val="000000"/>
              </w:rPr>
            </w:pPr>
            <w:r w:rsidRPr="00E61052">
              <w:rPr>
                <w:rFonts w:ascii="Bookman Old Style" w:hAnsi="Bookman Old Style"/>
                <w:b/>
                <w:i/>
                <w:color w:val="000000"/>
              </w:rPr>
              <w:t>Fondazioni lirico sinfoniche</w:t>
            </w:r>
          </w:p>
        </w:tc>
      </w:tr>
      <w:tr w:rsidR="00E61052" w:rsidRPr="00E61052" w:rsidTr="006E24E5">
        <w:tc>
          <w:tcPr>
            <w:tcW w:w="7213" w:type="dxa"/>
            <w:gridSpan w:val="3"/>
          </w:tcPr>
          <w:p w:rsidR="00E61052" w:rsidRDefault="00E61052" w:rsidP="00B13147">
            <w:pPr>
              <w:shd w:val="clear" w:color="auto" w:fill="FFFFFF"/>
              <w:jc w:val="both"/>
              <w:rPr>
                <w:rFonts w:ascii="Bookman Old Style" w:hAnsi="Bookman Old Style"/>
                <w:b/>
                <w:color w:val="231F20"/>
              </w:rPr>
            </w:pPr>
            <w:r w:rsidRPr="00512A38">
              <w:rPr>
                <w:rFonts w:ascii="Bookman Old Style" w:hAnsi="Bookman Old Style"/>
                <w:b/>
                <w:color w:val="231F20"/>
              </w:rPr>
              <w:t>583. Al fine di ridurre il debito fiscale</w:t>
            </w:r>
            <w:r w:rsidRPr="00512A38">
              <w:rPr>
                <w:rFonts w:ascii="Bookman Old Style" w:hAnsi="Bookman Old Style"/>
                <w:b/>
                <w:color w:val="231F20"/>
              </w:rPr>
              <w:br/>
              <w:t xml:space="preserve">delle fondazioni </w:t>
            </w:r>
            <w:proofErr w:type="spellStart"/>
            <w:r w:rsidRPr="00512A38">
              <w:rPr>
                <w:rFonts w:ascii="Bookman Old Style" w:hAnsi="Bookman Old Style"/>
                <w:b/>
                <w:color w:val="231F20"/>
              </w:rPr>
              <w:t>lirico-sinfoniche</w:t>
            </w:r>
            <w:proofErr w:type="spellEnd"/>
            <w:r w:rsidRPr="00512A38">
              <w:rPr>
                <w:rFonts w:ascii="Bookman Old Style" w:hAnsi="Bookman Old Style"/>
                <w:b/>
                <w:color w:val="231F20"/>
              </w:rPr>
              <w:t xml:space="preserve"> e di favorire le erogazioni liberali assoggettate all’agevolazione fiscale di cui all’articolo 1 del decreto-legge 31 maggio 2014, n. 83, convertito, con modificazioni, dalla legge 29 luglio 2014, n. 106, è autorizzata la spesa, in favore di tali enti, di 10 milioni di euro</w:t>
            </w:r>
            <w:r w:rsidR="00B13147">
              <w:rPr>
                <w:rFonts w:ascii="Bookman Old Style" w:hAnsi="Bookman Old Style"/>
                <w:b/>
                <w:color w:val="231F20"/>
              </w:rPr>
              <w:t xml:space="preserve"> </w:t>
            </w:r>
            <w:r w:rsidRPr="00512A38">
              <w:rPr>
                <w:rFonts w:ascii="Bookman Old Style" w:hAnsi="Bookman Old Style"/>
                <w:b/>
                <w:color w:val="231F20"/>
              </w:rPr>
              <w:t>per ciascuno degli anni 2017 e 2018 e di</w:t>
            </w:r>
            <w:r w:rsidRPr="00512A38">
              <w:rPr>
                <w:rFonts w:ascii="Bookman Old Style" w:hAnsi="Bookman Old Style"/>
                <w:b/>
                <w:color w:val="231F20"/>
              </w:rPr>
              <w:br/>
              <w:t>15 milioni di euro annui a decorrere dal 2019. Con decreto del Ministro dei beni e delle attività culturali e del turismo, da emanare entro trenta giorni dalla data di entrata</w:t>
            </w:r>
            <w:r w:rsidRPr="00512A38">
              <w:rPr>
                <w:rFonts w:ascii="Bookman Old Style" w:hAnsi="Bookman Old Style"/>
                <w:b/>
                <w:color w:val="231F20"/>
              </w:rPr>
              <w:br/>
              <w:t>in vigore della presente legge, sono stabilite</w:t>
            </w:r>
            <w:r w:rsidRPr="00512A38">
              <w:rPr>
                <w:rFonts w:ascii="Bookman Old Style" w:hAnsi="Bookman Old Style"/>
                <w:b/>
                <w:color w:val="231F20"/>
              </w:rPr>
              <w:br/>
              <w:t>le regole tecniche di ripartizione delle risorse di cui al precedente periodo, anche in modo da erogare prioritariamente a ciascun ente una quota pari, o comunque proporzionalmente commisurata, all’ammontare dei rispettivi contributi provenienti da soggetti privati, dalle regioni e dagli enti locali.</w:t>
            </w:r>
          </w:p>
          <w:p w:rsidR="003E7731" w:rsidRPr="00512A38" w:rsidRDefault="003E7731" w:rsidP="00B13147">
            <w:pPr>
              <w:shd w:val="clear" w:color="auto" w:fill="FFFFFF"/>
              <w:jc w:val="both"/>
              <w:rPr>
                <w:rFonts w:ascii="Bookman Old Style" w:eastAsia="Times New Roman" w:hAnsi="Bookman Old Style" w:cs="Arial"/>
                <w:b/>
                <w:lang w:eastAsia="it-IT"/>
              </w:rPr>
            </w:pPr>
          </w:p>
        </w:tc>
        <w:tc>
          <w:tcPr>
            <w:tcW w:w="7214" w:type="dxa"/>
            <w:gridSpan w:val="2"/>
          </w:tcPr>
          <w:p w:rsidR="00E61052" w:rsidRPr="00E61052" w:rsidRDefault="00512A38" w:rsidP="00E61052">
            <w:pPr>
              <w:jc w:val="both"/>
              <w:rPr>
                <w:rFonts w:ascii="Bookman Old Style" w:hAnsi="Bookman Old Style"/>
                <w:b/>
                <w:bCs/>
                <w:i/>
                <w:iCs/>
                <w:color w:val="000000"/>
              </w:rPr>
            </w:pPr>
            <w:r>
              <w:rPr>
                <w:rFonts w:ascii="Bookman Old Style" w:hAnsi="Bookman Old Style"/>
                <w:bCs/>
                <w:i/>
                <w:iCs/>
                <w:color w:val="000000"/>
              </w:rPr>
              <w:lastRenderedPageBreak/>
              <w:t xml:space="preserve">Il </w:t>
            </w:r>
            <w:r w:rsidRPr="003E7731">
              <w:rPr>
                <w:rFonts w:ascii="Bookman Old Style" w:hAnsi="Bookman Old Style"/>
                <w:b/>
                <w:bCs/>
                <w:i/>
                <w:iCs/>
                <w:color w:val="000000"/>
              </w:rPr>
              <w:t>comma</w:t>
            </w:r>
            <w:r w:rsidR="003E7731" w:rsidRPr="003E7731">
              <w:rPr>
                <w:rFonts w:ascii="Bookman Old Style" w:hAnsi="Bookman Old Style"/>
                <w:b/>
                <w:bCs/>
                <w:i/>
                <w:iCs/>
                <w:color w:val="000000"/>
              </w:rPr>
              <w:t xml:space="preserve"> 583</w:t>
            </w:r>
            <w:r w:rsidRPr="003E7731">
              <w:rPr>
                <w:rFonts w:ascii="Bookman Old Style" w:hAnsi="Bookman Old Style"/>
                <w:b/>
                <w:bCs/>
                <w:i/>
                <w:iCs/>
                <w:color w:val="000000"/>
              </w:rPr>
              <w:t xml:space="preserve"> </w:t>
            </w:r>
            <w:r>
              <w:rPr>
                <w:rFonts w:ascii="Bookman Old Style" w:hAnsi="Bookman Old Style"/>
                <w:bCs/>
                <w:i/>
                <w:iCs/>
                <w:color w:val="000000"/>
              </w:rPr>
              <w:t xml:space="preserve">introdotto dalla Camera, </w:t>
            </w:r>
            <w:r w:rsidR="00E61052" w:rsidRPr="00E61052">
              <w:rPr>
                <w:rFonts w:ascii="Bookman Old Style" w:hAnsi="Bookman Old Style"/>
                <w:i/>
                <w:color w:val="000000"/>
              </w:rPr>
              <w:t xml:space="preserve">autorizza in favore delle </w:t>
            </w:r>
            <w:r w:rsidR="00E61052" w:rsidRPr="00E61052">
              <w:rPr>
                <w:rFonts w:ascii="Bookman Old Style" w:hAnsi="Bookman Old Style"/>
                <w:bCs/>
                <w:i/>
                <w:color w:val="000000"/>
              </w:rPr>
              <w:t xml:space="preserve">fondazioni </w:t>
            </w:r>
            <w:proofErr w:type="spellStart"/>
            <w:r w:rsidR="00E61052" w:rsidRPr="00E61052">
              <w:rPr>
                <w:rFonts w:ascii="Bookman Old Style" w:hAnsi="Bookman Old Style"/>
                <w:bCs/>
                <w:i/>
                <w:color w:val="000000"/>
              </w:rPr>
              <w:t>lirico-sinfoniche</w:t>
            </w:r>
            <w:proofErr w:type="spellEnd"/>
            <w:r w:rsidR="00E61052" w:rsidRPr="00E61052">
              <w:rPr>
                <w:rFonts w:ascii="Bookman Old Style" w:hAnsi="Bookman Old Style"/>
                <w:bCs/>
                <w:i/>
                <w:color w:val="000000"/>
              </w:rPr>
              <w:t xml:space="preserve"> </w:t>
            </w:r>
            <w:r w:rsidR="00E61052" w:rsidRPr="00E61052">
              <w:rPr>
                <w:rFonts w:ascii="Bookman Old Style" w:hAnsi="Bookman Old Style"/>
                <w:i/>
                <w:color w:val="000000"/>
              </w:rPr>
              <w:t xml:space="preserve">la spesa di </w:t>
            </w:r>
            <w:r w:rsidR="00E61052" w:rsidRPr="00E61052">
              <w:rPr>
                <w:rFonts w:ascii="Bookman Old Style" w:hAnsi="Bookman Old Style"/>
                <w:bCs/>
                <w:i/>
                <w:color w:val="000000"/>
              </w:rPr>
              <w:t xml:space="preserve">10 milioni </w:t>
            </w:r>
            <w:r w:rsidR="00E61052" w:rsidRPr="00E61052">
              <w:rPr>
                <w:rFonts w:ascii="Bookman Old Style" w:hAnsi="Bookman Old Style"/>
                <w:i/>
                <w:color w:val="000000"/>
              </w:rPr>
              <w:t xml:space="preserve">per ciascuno degli anni </w:t>
            </w:r>
            <w:r w:rsidR="00E61052" w:rsidRPr="00E61052">
              <w:rPr>
                <w:rFonts w:ascii="Bookman Old Style" w:hAnsi="Bookman Old Style"/>
                <w:bCs/>
                <w:i/>
                <w:color w:val="000000"/>
              </w:rPr>
              <w:t xml:space="preserve">2017 e 2018 </w:t>
            </w:r>
            <w:r w:rsidR="00E61052" w:rsidRPr="00E61052">
              <w:rPr>
                <w:rFonts w:ascii="Bookman Old Style" w:hAnsi="Bookman Old Style"/>
                <w:i/>
                <w:color w:val="000000"/>
              </w:rPr>
              <w:t xml:space="preserve">e di </w:t>
            </w:r>
            <w:r w:rsidR="00E61052" w:rsidRPr="00E61052">
              <w:rPr>
                <w:rFonts w:ascii="Bookman Old Style" w:hAnsi="Bookman Old Style"/>
                <w:bCs/>
                <w:i/>
                <w:color w:val="000000"/>
              </w:rPr>
              <w:t xml:space="preserve">15 milioni </w:t>
            </w:r>
            <w:r w:rsidR="00E61052" w:rsidRPr="00E61052">
              <w:rPr>
                <w:rFonts w:ascii="Bookman Old Style" w:hAnsi="Bookman Old Style"/>
                <w:i/>
                <w:color w:val="000000"/>
              </w:rPr>
              <w:t xml:space="preserve">a decorrere dal </w:t>
            </w:r>
            <w:r w:rsidR="00E61052" w:rsidRPr="00E61052">
              <w:rPr>
                <w:rFonts w:ascii="Bookman Old Style" w:hAnsi="Bookman Old Style"/>
                <w:bCs/>
                <w:i/>
                <w:color w:val="000000"/>
              </w:rPr>
              <w:t>2019</w:t>
            </w:r>
            <w:r w:rsidR="00E61052" w:rsidRPr="00E61052">
              <w:rPr>
                <w:rFonts w:ascii="Bookman Old Style" w:hAnsi="Bookman Old Style"/>
                <w:i/>
                <w:color w:val="000000"/>
              </w:rPr>
              <w:t xml:space="preserve">, al fine di ridurre il loro debito fiscale e favorire le erogazioni liberali a loro favore </w:t>
            </w:r>
            <w:r w:rsidR="00E61052" w:rsidRPr="003E7731">
              <w:rPr>
                <w:rFonts w:ascii="Bookman Old Style" w:hAnsi="Bookman Old Style"/>
                <w:i/>
                <w:color w:val="000000"/>
              </w:rPr>
              <w:t>(</w:t>
            </w:r>
            <w:r w:rsidR="003E7731" w:rsidRPr="003E7731">
              <w:rPr>
                <w:rFonts w:ascii="Bookman Old Style" w:hAnsi="Bookman Old Style"/>
                <w:color w:val="000000"/>
                <w:shd w:val="clear" w:color="auto" w:fill="FFFFFF"/>
              </w:rPr>
              <w:t xml:space="preserve">c.d. </w:t>
            </w:r>
            <w:proofErr w:type="spellStart"/>
            <w:r w:rsidR="003E7731" w:rsidRPr="003E7731">
              <w:rPr>
                <w:rFonts w:ascii="Bookman Old Style" w:hAnsi="Bookman Old Style"/>
                <w:color w:val="000000"/>
                <w:shd w:val="clear" w:color="auto" w:fill="FFFFFF"/>
              </w:rPr>
              <w:t>Art-bonus</w:t>
            </w:r>
            <w:proofErr w:type="spellEnd"/>
            <w:r w:rsidR="00E61052" w:rsidRPr="00E61052">
              <w:rPr>
                <w:rFonts w:ascii="Bookman Old Style" w:hAnsi="Bookman Old Style"/>
                <w:i/>
                <w:color w:val="000000"/>
              </w:rPr>
              <w:t xml:space="preserve">: art. 1, D.L. 83/2014 – L.106/2014). Le regole tecniche di ripartizione delle risorse sono definite con decreto del Ministro dei beni e delle attività culturali e del turismo, da emanare entro 30 giorni dalla data di entrata in vigore della legge, prioritariamente erogando a ciascuna fondazione una quota pari o proporzionale all’ammontare dei contributi provenienti, per la stessa fondazione, da soggetti privati, regioni ed enti locali. Si intenderebbe che tale autorizzazione di spesa si aggiunge alle risorse destinate alle fondazioni </w:t>
            </w:r>
            <w:proofErr w:type="spellStart"/>
            <w:r w:rsidR="00E61052" w:rsidRPr="00E61052">
              <w:rPr>
                <w:rFonts w:ascii="Bookman Old Style" w:hAnsi="Bookman Old Style"/>
                <w:i/>
                <w:color w:val="000000"/>
              </w:rPr>
              <w:t>lirico-sinfoniche</w:t>
            </w:r>
            <w:proofErr w:type="spellEnd"/>
            <w:r w:rsidR="00E61052" w:rsidRPr="00E61052">
              <w:rPr>
                <w:rFonts w:ascii="Bookman Old Style" w:hAnsi="Bookman Old Style"/>
                <w:i/>
                <w:color w:val="000000"/>
              </w:rPr>
              <w:t xml:space="preserve"> a valere sul Fondo unico per lo spettacolo (FUS).</w:t>
            </w:r>
          </w:p>
          <w:p w:rsidR="00E61052" w:rsidRPr="00E61052" w:rsidRDefault="00E61052" w:rsidP="00E61052">
            <w:pPr>
              <w:jc w:val="both"/>
              <w:rPr>
                <w:rFonts w:ascii="Bookman Old Style" w:hAnsi="Bookman Old Style"/>
                <w:i/>
                <w:color w:val="000000"/>
              </w:rPr>
            </w:pPr>
          </w:p>
        </w:tc>
      </w:tr>
      <w:tr w:rsidR="00E61052" w:rsidRPr="00E61052" w:rsidTr="008856E3">
        <w:tc>
          <w:tcPr>
            <w:tcW w:w="14427" w:type="dxa"/>
            <w:gridSpan w:val="5"/>
          </w:tcPr>
          <w:p w:rsidR="005E1323" w:rsidRDefault="005E1323" w:rsidP="00E61052">
            <w:pPr>
              <w:jc w:val="center"/>
              <w:rPr>
                <w:rFonts w:ascii="Bookman Old Style" w:hAnsi="Bookman Old Style"/>
                <w:b/>
                <w:bCs/>
                <w:i/>
                <w:iCs/>
                <w:color w:val="000000"/>
              </w:rPr>
            </w:pPr>
          </w:p>
          <w:p w:rsidR="00E61052" w:rsidRPr="00E61052" w:rsidRDefault="00E61052" w:rsidP="00E61052">
            <w:pPr>
              <w:jc w:val="center"/>
              <w:rPr>
                <w:rFonts w:ascii="Bookman Old Style" w:hAnsi="Bookman Old Style"/>
                <w:b/>
                <w:bCs/>
                <w:i/>
                <w:iCs/>
                <w:color w:val="000000"/>
              </w:rPr>
            </w:pPr>
            <w:r w:rsidRPr="00E61052">
              <w:rPr>
                <w:rFonts w:ascii="Bookman Old Style" w:hAnsi="Bookman Old Style"/>
                <w:b/>
                <w:bCs/>
                <w:i/>
                <w:iCs/>
                <w:color w:val="000000"/>
              </w:rPr>
              <w:t>Piano per le città</w:t>
            </w:r>
          </w:p>
        </w:tc>
      </w:tr>
      <w:tr w:rsidR="00E61052" w:rsidRPr="00E61052" w:rsidTr="006E24E5">
        <w:tc>
          <w:tcPr>
            <w:tcW w:w="7213" w:type="dxa"/>
            <w:gridSpan w:val="3"/>
          </w:tcPr>
          <w:p w:rsidR="00E61052" w:rsidRPr="00512A38" w:rsidRDefault="00E61052" w:rsidP="00E61052">
            <w:pPr>
              <w:shd w:val="clear" w:color="auto" w:fill="FFFFFF"/>
              <w:jc w:val="both"/>
              <w:rPr>
                <w:rFonts w:ascii="Bookman Old Style" w:hAnsi="Bookman Old Style"/>
                <w:b/>
                <w:color w:val="231F20"/>
              </w:rPr>
            </w:pPr>
            <w:r w:rsidRPr="00512A38">
              <w:rPr>
                <w:rFonts w:ascii="Bookman Old Style" w:hAnsi="Bookman Old Style"/>
                <w:b/>
                <w:color w:val="231F20"/>
              </w:rPr>
              <w:t>601. La dotazione finanziaria del Fondo per l’attuazione del piano nazionale per le città, di cui all’articolo 12, comma 5, del decreto-legge 22 giugno 2012, n. 83, convertito, con modificazioni, dalla legge 7 agosto 2012, n. 134, è incrementata per l’anno 2017 di euro 7 milioni.</w:t>
            </w:r>
          </w:p>
        </w:tc>
        <w:tc>
          <w:tcPr>
            <w:tcW w:w="7214" w:type="dxa"/>
            <w:gridSpan w:val="2"/>
          </w:tcPr>
          <w:p w:rsidR="00E61052" w:rsidRPr="00E61052" w:rsidRDefault="00512A38" w:rsidP="00E61052">
            <w:pPr>
              <w:jc w:val="both"/>
              <w:rPr>
                <w:rFonts w:ascii="Bookman Old Style" w:hAnsi="Bookman Old Style"/>
                <w:b/>
                <w:i/>
                <w:u w:val="single"/>
              </w:rPr>
            </w:pPr>
            <w:r>
              <w:rPr>
                <w:rFonts w:ascii="Bookman Old Style" w:hAnsi="Bookman Old Style"/>
                <w:bCs/>
                <w:i/>
                <w:iCs/>
                <w:color w:val="000000"/>
              </w:rPr>
              <w:t xml:space="preserve">Il </w:t>
            </w:r>
            <w:r w:rsidRPr="003E7731">
              <w:rPr>
                <w:rFonts w:ascii="Bookman Old Style" w:hAnsi="Bookman Old Style"/>
                <w:b/>
                <w:bCs/>
                <w:i/>
                <w:iCs/>
                <w:color w:val="000000"/>
              </w:rPr>
              <w:t>comma</w:t>
            </w:r>
            <w:r w:rsidR="003E7731" w:rsidRPr="003E7731">
              <w:rPr>
                <w:rFonts w:ascii="Bookman Old Style" w:hAnsi="Bookman Old Style"/>
                <w:b/>
                <w:bCs/>
                <w:i/>
                <w:iCs/>
                <w:color w:val="000000"/>
              </w:rPr>
              <w:t xml:space="preserve"> 601</w:t>
            </w:r>
            <w:r w:rsidR="003E7731">
              <w:rPr>
                <w:rFonts w:ascii="Bookman Old Style" w:hAnsi="Bookman Old Style"/>
                <w:bCs/>
                <w:i/>
                <w:iCs/>
                <w:color w:val="000000"/>
              </w:rPr>
              <w:t xml:space="preserve"> </w:t>
            </w:r>
            <w:r>
              <w:rPr>
                <w:rFonts w:ascii="Bookman Old Style" w:hAnsi="Bookman Old Style"/>
                <w:bCs/>
                <w:i/>
                <w:iCs/>
                <w:color w:val="000000"/>
              </w:rPr>
              <w:t>, introdotto dalla Camera, in</w:t>
            </w:r>
            <w:r w:rsidR="00E61052" w:rsidRPr="00E61052">
              <w:rPr>
                <w:rFonts w:ascii="Bookman Old Style" w:hAnsi="Bookman Old Style"/>
                <w:i/>
                <w:color w:val="000000"/>
              </w:rPr>
              <w:t xml:space="preserve">crementa di </w:t>
            </w:r>
            <w:r w:rsidR="00E61052" w:rsidRPr="00E61052">
              <w:rPr>
                <w:rFonts w:ascii="Bookman Old Style" w:hAnsi="Bookman Old Style"/>
                <w:bCs/>
                <w:i/>
                <w:color w:val="000000"/>
              </w:rPr>
              <w:t>7 milioni di euro</w:t>
            </w:r>
            <w:r w:rsidR="00E61052" w:rsidRPr="00E61052">
              <w:rPr>
                <w:rFonts w:ascii="Bookman Old Style" w:hAnsi="Bookman Old Style"/>
                <w:i/>
                <w:color w:val="000000"/>
              </w:rPr>
              <w:t xml:space="preserve">, </w:t>
            </w:r>
            <w:r w:rsidR="00E61052" w:rsidRPr="00E61052">
              <w:rPr>
                <w:rFonts w:ascii="Bookman Old Style" w:hAnsi="Bookman Old Style"/>
                <w:bCs/>
                <w:i/>
                <w:color w:val="000000"/>
              </w:rPr>
              <w:t>per l</w:t>
            </w:r>
            <w:r>
              <w:rPr>
                <w:rFonts w:ascii="Bookman Old Style" w:hAnsi="Bookman Old Style"/>
                <w:bCs/>
                <w:i/>
                <w:color w:val="000000"/>
              </w:rPr>
              <w:t>’</w:t>
            </w:r>
            <w:r w:rsidR="00E61052" w:rsidRPr="00E61052">
              <w:rPr>
                <w:rFonts w:ascii="Bookman Old Style" w:hAnsi="Bookman Old Style"/>
                <w:bCs/>
                <w:i/>
                <w:color w:val="000000"/>
              </w:rPr>
              <w:t>anno 2017</w:t>
            </w:r>
            <w:r w:rsidR="00E61052" w:rsidRPr="00E61052">
              <w:rPr>
                <w:rFonts w:ascii="Bookman Old Style" w:hAnsi="Bookman Old Style"/>
                <w:i/>
                <w:color w:val="000000"/>
              </w:rPr>
              <w:t>, la dotazione finanziaria del Fondo per l</w:t>
            </w:r>
            <w:r>
              <w:rPr>
                <w:rFonts w:ascii="Bookman Old Style" w:hAnsi="Bookman Old Style"/>
                <w:i/>
                <w:color w:val="000000"/>
              </w:rPr>
              <w:t>’</w:t>
            </w:r>
            <w:r w:rsidR="00E61052" w:rsidRPr="00E61052">
              <w:rPr>
                <w:rFonts w:ascii="Bookman Old Style" w:hAnsi="Bookman Old Style"/>
                <w:i/>
                <w:color w:val="000000"/>
              </w:rPr>
              <w:t xml:space="preserve">attuazione del </w:t>
            </w:r>
            <w:r w:rsidR="00E61052" w:rsidRPr="00E61052">
              <w:rPr>
                <w:rFonts w:ascii="Bookman Old Style" w:hAnsi="Bookman Old Style"/>
                <w:bCs/>
                <w:i/>
                <w:color w:val="000000"/>
              </w:rPr>
              <w:t>Piano nazionale per le città</w:t>
            </w:r>
            <w:r w:rsidR="00E61052" w:rsidRPr="00E61052">
              <w:rPr>
                <w:rFonts w:ascii="Bookman Old Style" w:hAnsi="Bookman Old Style"/>
                <w:b/>
                <w:bCs/>
                <w:i/>
                <w:color w:val="000000"/>
              </w:rPr>
              <w:t xml:space="preserve"> </w:t>
            </w:r>
            <w:r w:rsidR="00E61052" w:rsidRPr="00E61052">
              <w:rPr>
                <w:rFonts w:ascii="Bookman Old Style" w:hAnsi="Bookman Old Style"/>
                <w:i/>
                <w:color w:val="000000"/>
              </w:rPr>
              <w:t>(previsto dall</w:t>
            </w:r>
            <w:r>
              <w:rPr>
                <w:rFonts w:ascii="Bookman Old Style" w:hAnsi="Bookman Old Style"/>
                <w:i/>
                <w:color w:val="000000"/>
              </w:rPr>
              <w:t>’</w:t>
            </w:r>
            <w:r w:rsidR="00E61052" w:rsidRPr="00E61052">
              <w:rPr>
                <w:rFonts w:ascii="Bookman Old Style" w:hAnsi="Bookman Old Style"/>
                <w:i/>
                <w:color w:val="000000"/>
              </w:rPr>
              <w:t>art. 12, comma 5, del D.L. 83/2012).</w:t>
            </w:r>
          </w:p>
          <w:p w:rsidR="00E61052" w:rsidRPr="00E61052" w:rsidRDefault="00E61052" w:rsidP="00E61052">
            <w:pPr>
              <w:jc w:val="both"/>
              <w:rPr>
                <w:rFonts w:ascii="Bookman Old Style" w:hAnsi="Bookman Old Style"/>
                <w:bCs/>
                <w:i/>
                <w:iCs/>
                <w:color w:val="000000"/>
              </w:rPr>
            </w:pPr>
          </w:p>
        </w:tc>
      </w:tr>
      <w:tr w:rsidR="00512A38" w:rsidRPr="00E61052" w:rsidTr="008856E3">
        <w:tc>
          <w:tcPr>
            <w:tcW w:w="14427" w:type="dxa"/>
            <w:gridSpan w:val="5"/>
          </w:tcPr>
          <w:p w:rsidR="005E1323" w:rsidRDefault="005E1323" w:rsidP="00512A38">
            <w:pPr>
              <w:jc w:val="center"/>
              <w:rPr>
                <w:rFonts w:ascii="Bookman Old Style" w:hAnsi="Bookman Old Style"/>
                <w:b/>
                <w:bCs/>
                <w:i/>
                <w:iCs/>
                <w:color w:val="000000"/>
              </w:rPr>
            </w:pPr>
          </w:p>
          <w:p w:rsidR="00512A38" w:rsidRPr="00512A38" w:rsidRDefault="00512A38" w:rsidP="00512A38">
            <w:pPr>
              <w:jc w:val="center"/>
              <w:rPr>
                <w:rFonts w:ascii="Bookman Old Style" w:hAnsi="Bookman Old Style"/>
                <w:b/>
                <w:bCs/>
                <w:i/>
                <w:iCs/>
                <w:color w:val="000000"/>
              </w:rPr>
            </w:pPr>
            <w:r w:rsidRPr="00512A38">
              <w:rPr>
                <w:rFonts w:ascii="Bookman Old Style" w:hAnsi="Bookman Old Style"/>
                <w:b/>
                <w:bCs/>
                <w:i/>
                <w:iCs/>
                <w:color w:val="000000"/>
              </w:rPr>
              <w:t>Scuole paritarie e materne</w:t>
            </w:r>
          </w:p>
        </w:tc>
      </w:tr>
      <w:tr w:rsidR="00512A38" w:rsidRPr="00512A38" w:rsidTr="006E24E5">
        <w:tc>
          <w:tcPr>
            <w:tcW w:w="7213" w:type="dxa"/>
            <w:gridSpan w:val="3"/>
          </w:tcPr>
          <w:p w:rsidR="00512A38" w:rsidRPr="00512A38" w:rsidRDefault="00512A38" w:rsidP="00512A38">
            <w:pPr>
              <w:shd w:val="clear" w:color="auto" w:fill="FFFFFF"/>
              <w:jc w:val="both"/>
              <w:rPr>
                <w:rFonts w:ascii="Bookman Old Style" w:hAnsi="Bookman Old Style"/>
                <w:color w:val="231F20"/>
              </w:rPr>
            </w:pPr>
            <w:r w:rsidRPr="00512A38">
              <w:rPr>
                <w:rFonts w:ascii="Bookman Old Style" w:hAnsi="Bookman Old Style"/>
                <w:color w:val="231F20"/>
              </w:rPr>
              <w:t>619. Per l’anno 2017 è assegnato alle</w:t>
            </w:r>
            <w:r>
              <w:rPr>
                <w:rFonts w:ascii="Bookman Old Style" w:hAnsi="Bookman Old Style"/>
                <w:color w:val="231F20"/>
              </w:rPr>
              <w:t xml:space="preserve"> </w:t>
            </w:r>
            <w:r w:rsidRPr="00512A38">
              <w:rPr>
                <w:rFonts w:ascii="Bookman Old Style" w:hAnsi="Bookman Old Style"/>
                <w:color w:val="231F20"/>
              </w:rPr>
              <w:t xml:space="preserve">scuole materne paritarie un contributo aggiuntivo di </w:t>
            </w:r>
            <w:r w:rsidRPr="00512A38">
              <w:rPr>
                <w:rFonts w:ascii="Bookman Old Style" w:hAnsi="Bookman Old Style"/>
                <w:b/>
                <w:color w:val="231F20"/>
              </w:rPr>
              <w:t>50 milioni di euro</w:t>
            </w:r>
            <w:r w:rsidRPr="00512A38">
              <w:rPr>
                <w:rFonts w:ascii="Bookman Old Style" w:hAnsi="Bookman Old Style"/>
                <w:color w:val="231F20"/>
              </w:rPr>
              <w:t>. Il contributo</w:t>
            </w:r>
            <w:r>
              <w:rPr>
                <w:rFonts w:ascii="Bookman Old Style" w:hAnsi="Bookman Old Style"/>
                <w:color w:val="231F20"/>
              </w:rPr>
              <w:t xml:space="preserve"> </w:t>
            </w:r>
            <w:r w:rsidRPr="00512A38">
              <w:rPr>
                <w:rFonts w:ascii="Bookman Old Style" w:hAnsi="Bookman Old Style"/>
                <w:color w:val="231F20"/>
              </w:rPr>
              <w:t>è ripartito secondo modalità e criteri definiti</w:t>
            </w:r>
            <w:r>
              <w:rPr>
                <w:rFonts w:ascii="Bookman Old Style" w:hAnsi="Bookman Old Style"/>
                <w:color w:val="231F20"/>
              </w:rPr>
              <w:t xml:space="preserve"> </w:t>
            </w:r>
            <w:r w:rsidRPr="00512A38">
              <w:rPr>
                <w:rFonts w:ascii="Bookman Old Style" w:hAnsi="Bookman Old Style"/>
                <w:color w:val="231F20"/>
              </w:rPr>
              <w:t>con decreto del Ministro dell’istruzione, dell’università e della ricerca, da adottare entro</w:t>
            </w:r>
            <w:r>
              <w:rPr>
                <w:rFonts w:ascii="Bookman Old Style" w:hAnsi="Bookman Old Style"/>
                <w:color w:val="231F20"/>
              </w:rPr>
              <w:t xml:space="preserve"> </w:t>
            </w:r>
            <w:r w:rsidRPr="00512A38">
              <w:rPr>
                <w:rFonts w:ascii="Bookman Old Style" w:hAnsi="Bookman Old Style"/>
                <w:color w:val="231F20"/>
              </w:rPr>
              <w:t>trenta giorni dalla data di entrata in vigore</w:t>
            </w:r>
            <w:r>
              <w:rPr>
                <w:rFonts w:ascii="Bookman Old Style" w:hAnsi="Bookman Old Style"/>
                <w:color w:val="231F20"/>
              </w:rPr>
              <w:t xml:space="preserve"> </w:t>
            </w:r>
            <w:r w:rsidRPr="00512A38">
              <w:rPr>
                <w:rFonts w:ascii="Bookman Old Style" w:hAnsi="Bookman Old Style"/>
                <w:color w:val="231F20"/>
              </w:rPr>
              <w:t>della presente legge. Il contributo è erogato</w:t>
            </w:r>
            <w:r>
              <w:rPr>
                <w:rFonts w:ascii="Bookman Old Style" w:hAnsi="Bookman Old Style"/>
                <w:color w:val="231F20"/>
              </w:rPr>
              <w:t xml:space="preserve"> </w:t>
            </w:r>
            <w:r w:rsidRPr="00512A38">
              <w:rPr>
                <w:rFonts w:ascii="Bookman Old Style" w:hAnsi="Bookman Old Style"/>
                <w:color w:val="231F20"/>
              </w:rPr>
              <w:t>entro il 31 ottobre dell’anno scolastico di riferimento.</w:t>
            </w:r>
          </w:p>
        </w:tc>
        <w:tc>
          <w:tcPr>
            <w:tcW w:w="7214" w:type="dxa"/>
            <w:gridSpan w:val="2"/>
          </w:tcPr>
          <w:p w:rsidR="00512A38" w:rsidRPr="00512A38" w:rsidRDefault="00512A38" w:rsidP="00512A38">
            <w:pPr>
              <w:jc w:val="both"/>
              <w:rPr>
                <w:rFonts w:ascii="Bookman Old Style" w:hAnsi="Bookman Old Style"/>
                <w:i/>
                <w:color w:val="000000"/>
              </w:rPr>
            </w:pPr>
            <w:r w:rsidRPr="00512A38">
              <w:rPr>
                <w:rFonts w:ascii="Bookman Old Style" w:hAnsi="Bookman Old Style"/>
                <w:i/>
                <w:color w:val="000000"/>
              </w:rPr>
              <w:t xml:space="preserve">Il </w:t>
            </w:r>
            <w:r w:rsidRPr="00696907">
              <w:rPr>
                <w:rFonts w:ascii="Bookman Old Style" w:hAnsi="Bookman Old Style"/>
                <w:b/>
                <w:i/>
                <w:color w:val="000000"/>
              </w:rPr>
              <w:t xml:space="preserve">comma </w:t>
            </w:r>
            <w:r w:rsidR="00696907" w:rsidRPr="00696907">
              <w:rPr>
                <w:rFonts w:ascii="Bookman Old Style" w:hAnsi="Bookman Old Style"/>
                <w:b/>
                <w:i/>
                <w:color w:val="000000"/>
              </w:rPr>
              <w:t>619</w:t>
            </w:r>
            <w:r w:rsidR="00696907">
              <w:rPr>
                <w:rFonts w:ascii="Bookman Old Style" w:hAnsi="Bookman Old Style"/>
                <w:i/>
                <w:color w:val="000000"/>
              </w:rPr>
              <w:t xml:space="preserve"> </w:t>
            </w:r>
            <w:r w:rsidRPr="00512A38">
              <w:rPr>
                <w:rFonts w:ascii="Bookman Old Style" w:hAnsi="Bookman Old Style"/>
                <w:i/>
                <w:color w:val="000000"/>
              </w:rPr>
              <w:t xml:space="preserve">aumenta da € 25 </w:t>
            </w:r>
            <w:proofErr w:type="spellStart"/>
            <w:r w:rsidRPr="00512A38">
              <w:rPr>
                <w:rFonts w:ascii="Bookman Old Style" w:hAnsi="Bookman Old Style"/>
                <w:i/>
                <w:color w:val="000000"/>
              </w:rPr>
              <w:t>mln</w:t>
            </w:r>
            <w:proofErr w:type="spellEnd"/>
            <w:r w:rsidRPr="00512A38">
              <w:rPr>
                <w:rFonts w:ascii="Bookman Old Style" w:hAnsi="Bookman Old Style"/>
                <w:i/>
                <w:color w:val="000000"/>
              </w:rPr>
              <w:t xml:space="preserve"> a </w:t>
            </w:r>
            <w:r w:rsidRPr="00512A38">
              <w:rPr>
                <w:rFonts w:ascii="Bookman Old Style" w:hAnsi="Bookman Old Style"/>
                <w:bCs/>
                <w:i/>
                <w:color w:val="000000"/>
              </w:rPr>
              <w:t xml:space="preserve">€ 50 </w:t>
            </w:r>
            <w:proofErr w:type="spellStart"/>
            <w:r w:rsidRPr="00512A38">
              <w:rPr>
                <w:rFonts w:ascii="Bookman Old Style" w:hAnsi="Bookman Old Style"/>
                <w:bCs/>
                <w:i/>
                <w:color w:val="000000"/>
              </w:rPr>
              <w:t>mln</w:t>
            </w:r>
            <w:proofErr w:type="spellEnd"/>
            <w:r w:rsidRPr="00512A38">
              <w:rPr>
                <w:rFonts w:ascii="Bookman Old Style" w:hAnsi="Bookman Old Style"/>
                <w:bCs/>
                <w:i/>
                <w:color w:val="000000"/>
              </w:rPr>
              <w:t xml:space="preserve"> </w:t>
            </w:r>
            <w:r w:rsidRPr="00512A38">
              <w:rPr>
                <w:rFonts w:ascii="Bookman Old Style" w:hAnsi="Bookman Old Style"/>
                <w:i/>
                <w:color w:val="000000"/>
              </w:rPr>
              <w:t xml:space="preserve">il contributo aggiuntivo assegnato alle </w:t>
            </w:r>
            <w:r w:rsidRPr="00512A38">
              <w:rPr>
                <w:rFonts w:ascii="Bookman Old Style" w:hAnsi="Bookman Old Style"/>
                <w:bCs/>
                <w:i/>
                <w:color w:val="000000"/>
              </w:rPr>
              <w:t xml:space="preserve">scuole dell’infanzia paritarie </w:t>
            </w:r>
            <w:r w:rsidRPr="00512A38">
              <w:rPr>
                <w:rFonts w:ascii="Bookman Old Style" w:hAnsi="Bookman Old Style"/>
                <w:i/>
                <w:color w:val="000000"/>
              </w:rPr>
              <w:t>per l’anno 2017.</w:t>
            </w:r>
          </w:p>
          <w:p w:rsidR="00512A38" w:rsidRPr="00512A38" w:rsidRDefault="00512A38" w:rsidP="00E61052">
            <w:pPr>
              <w:jc w:val="both"/>
              <w:rPr>
                <w:rFonts w:ascii="Bookman Old Style" w:hAnsi="Bookman Old Style"/>
                <w:bCs/>
                <w:i/>
                <w:iCs/>
                <w:color w:val="000000"/>
              </w:rPr>
            </w:pPr>
          </w:p>
        </w:tc>
      </w:tr>
      <w:tr w:rsidR="00512A38" w:rsidRPr="00512A38" w:rsidTr="008856E3">
        <w:tc>
          <w:tcPr>
            <w:tcW w:w="14427" w:type="dxa"/>
            <w:gridSpan w:val="5"/>
          </w:tcPr>
          <w:p w:rsidR="005E1323" w:rsidRDefault="005E1323" w:rsidP="00512A38">
            <w:pPr>
              <w:jc w:val="center"/>
              <w:rPr>
                <w:rFonts w:ascii="Bookman Old Style" w:hAnsi="Bookman Old Style"/>
                <w:b/>
                <w:bCs/>
                <w:i/>
                <w:iCs/>
                <w:color w:val="000000"/>
              </w:rPr>
            </w:pPr>
          </w:p>
          <w:p w:rsidR="00512A38" w:rsidRPr="00512A38" w:rsidRDefault="00512A38" w:rsidP="00512A38">
            <w:pPr>
              <w:jc w:val="center"/>
              <w:rPr>
                <w:rFonts w:ascii="Bookman Old Style" w:hAnsi="Bookman Old Style"/>
                <w:b/>
                <w:bCs/>
                <w:i/>
                <w:iCs/>
                <w:color w:val="000000"/>
              </w:rPr>
            </w:pPr>
            <w:r w:rsidRPr="00512A38">
              <w:rPr>
                <w:rFonts w:ascii="Bookman Old Style" w:hAnsi="Bookman Old Style"/>
                <w:b/>
                <w:bCs/>
                <w:i/>
                <w:iCs/>
                <w:color w:val="000000"/>
              </w:rPr>
              <w:t>Fondo nazionale rievocazione storica</w:t>
            </w:r>
          </w:p>
        </w:tc>
      </w:tr>
      <w:tr w:rsidR="00512A38" w:rsidRPr="00512A38" w:rsidTr="006E24E5">
        <w:tc>
          <w:tcPr>
            <w:tcW w:w="7213" w:type="dxa"/>
            <w:gridSpan w:val="3"/>
          </w:tcPr>
          <w:p w:rsidR="00512A38" w:rsidRPr="00512A38" w:rsidRDefault="00512A38" w:rsidP="00512A38">
            <w:pPr>
              <w:shd w:val="clear" w:color="auto" w:fill="FFFFFF"/>
              <w:jc w:val="both"/>
              <w:rPr>
                <w:rFonts w:ascii="Bookman Old Style" w:hAnsi="Bookman Old Style"/>
                <w:b/>
                <w:color w:val="231F20"/>
              </w:rPr>
            </w:pPr>
            <w:r w:rsidRPr="00512A38">
              <w:rPr>
                <w:rFonts w:ascii="Bookman Old Style" w:hAnsi="Bookman Old Style"/>
                <w:b/>
                <w:color w:val="231F20"/>
              </w:rPr>
              <w:t>627. Nello stato di previsione del Ministero dei beni e delle attività culturali e del turismo è istituito il Fondo nazionale</w:t>
            </w:r>
            <w:r w:rsidRPr="00512A38">
              <w:rPr>
                <w:rFonts w:ascii="Bookman Old Style" w:hAnsi="Bookman Old Style"/>
                <w:b/>
                <w:color w:val="231F20"/>
              </w:rPr>
              <w:br/>
              <w:t>per la rievocazione storica, finalizzato alla promozione di eventi, feste e attività nonché alla valorizzazione dei beni culturali attraverso la rievocazione storica, con una dotazione di 2 milioni di euro per ciascuno degli anni 2017, 2018 e 2019. L’accesso alle risorse del Fondo è consentito in via diretta alle regioni, ai comuni, alle istituzioni culturali e alle associazioni di rievocazione storica riconosciute attraverso l’iscrizione ad appositi albi tenuti presso i comuni o già operanti da almeno dieci anni, in base a criteri determinati con decreto del Ministro dei beni e delle attività culturali e del turismo da emanare entro trenta giorni dalla data di entrata in vigore della presente legge.</w:t>
            </w:r>
          </w:p>
        </w:tc>
        <w:tc>
          <w:tcPr>
            <w:tcW w:w="7214" w:type="dxa"/>
            <w:gridSpan w:val="2"/>
          </w:tcPr>
          <w:p w:rsidR="00512A38" w:rsidRPr="00512A38" w:rsidRDefault="00512A38" w:rsidP="00512A38">
            <w:pPr>
              <w:jc w:val="both"/>
              <w:rPr>
                <w:rFonts w:ascii="Bookman Old Style" w:hAnsi="Bookman Old Style"/>
                <w:i/>
                <w:color w:val="000000"/>
              </w:rPr>
            </w:pPr>
            <w:r>
              <w:rPr>
                <w:rFonts w:ascii="Bookman Old Style" w:hAnsi="Bookman Old Style"/>
                <w:i/>
                <w:color w:val="000000"/>
              </w:rPr>
              <w:t xml:space="preserve">Con questo nuovo </w:t>
            </w:r>
            <w:r w:rsidRPr="00696907">
              <w:rPr>
                <w:rFonts w:ascii="Bookman Old Style" w:hAnsi="Bookman Old Style"/>
                <w:b/>
                <w:i/>
                <w:color w:val="000000"/>
              </w:rPr>
              <w:t xml:space="preserve">comma </w:t>
            </w:r>
            <w:r w:rsidR="00696907" w:rsidRPr="00696907">
              <w:rPr>
                <w:rFonts w:ascii="Bookman Old Style" w:hAnsi="Bookman Old Style"/>
                <w:b/>
                <w:i/>
                <w:color w:val="000000"/>
              </w:rPr>
              <w:t>627</w:t>
            </w:r>
            <w:r w:rsidR="00696907">
              <w:rPr>
                <w:rFonts w:ascii="Bookman Old Style" w:hAnsi="Bookman Old Style"/>
                <w:i/>
                <w:color w:val="000000"/>
              </w:rPr>
              <w:t xml:space="preserve"> </w:t>
            </w:r>
            <w:r>
              <w:rPr>
                <w:rFonts w:ascii="Bookman Old Style" w:hAnsi="Bookman Old Style"/>
                <w:i/>
                <w:color w:val="000000"/>
              </w:rPr>
              <w:t>introdotto dalla camera, viene istituito</w:t>
            </w:r>
            <w:r w:rsidRPr="00512A38">
              <w:rPr>
                <w:rFonts w:ascii="Bookman Old Style" w:hAnsi="Bookman Old Style"/>
                <w:i/>
                <w:color w:val="000000"/>
              </w:rPr>
              <w:t xml:space="preserve"> nello stato di previsione del </w:t>
            </w:r>
            <w:proofErr w:type="spellStart"/>
            <w:r w:rsidRPr="00512A38">
              <w:rPr>
                <w:rFonts w:ascii="Bookman Old Style" w:hAnsi="Bookman Old Style"/>
                <w:i/>
                <w:color w:val="000000"/>
              </w:rPr>
              <w:t>Mibact</w:t>
            </w:r>
            <w:proofErr w:type="spellEnd"/>
            <w:r w:rsidRPr="00512A38">
              <w:rPr>
                <w:rFonts w:ascii="Bookman Old Style" w:hAnsi="Bookman Old Style"/>
                <w:i/>
                <w:color w:val="000000"/>
              </w:rPr>
              <w:t xml:space="preserve"> il </w:t>
            </w:r>
            <w:r w:rsidRPr="00512A38">
              <w:rPr>
                <w:rFonts w:ascii="Bookman Old Style" w:hAnsi="Bookman Old Style"/>
                <w:bCs/>
                <w:i/>
                <w:color w:val="000000"/>
              </w:rPr>
              <w:t>Fondo nazionale per la rievocazione storica</w:t>
            </w:r>
            <w:r w:rsidRPr="00512A38">
              <w:rPr>
                <w:rFonts w:ascii="Bookman Old Style" w:hAnsi="Bookman Old Style"/>
                <w:i/>
                <w:color w:val="000000"/>
              </w:rPr>
              <w:t xml:space="preserve">, con una dotazione di </w:t>
            </w:r>
            <w:r w:rsidRPr="00512A38">
              <w:rPr>
                <w:rFonts w:ascii="Bookman Old Style" w:hAnsi="Bookman Old Style"/>
                <w:bCs/>
                <w:i/>
                <w:color w:val="000000"/>
              </w:rPr>
              <w:t xml:space="preserve">€ 2 </w:t>
            </w:r>
            <w:proofErr w:type="spellStart"/>
            <w:r w:rsidRPr="00512A38">
              <w:rPr>
                <w:rFonts w:ascii="Bookman Old Style" w:hAnsi="Bookman Old Style"/>
                <w:bCs/>
                <w:i/>
                <w:color w:val="000000"/>
              </w:rPr>
              <w:t>mln</w:t>
            </w:r>
            <w:proofErr w:type="spellEnd"/>
            <w:r w:rsidRPr="00512A38">
              <w:rPr>
                <w:rFonts w:ascii="Bookman Old Style" w:hAnsi="Bookman Old Style"/>
                <w:bCs/>
                <w:i/>
                <w:color w:val="000000"/>
              </w:rPr>
              <w:t xml:space="preserve"> </w:t>
            </w:r>
            <w:r w:rsidRPr="00512A38">
              <w:rPr>
                <w:rFonts w:ascii="Bookman Old Style" w:hAnsi="Bookman Old Style"/>
                <w:i/>
                <w:color w:val="000000"/>
              </w:rPr>
              <w:t xml:space="preserve">per ciascuno degli anni </w:t>
            </w:r>
            <w:r w:rsidRPr="00512A38">
              <w:rPr>
                <w:rFonts w:ascii="Bookman Old Style" w:hAnsi="Bookman Old Style"/>
                <w:bCs/>
                <w:i/>
                <w:color w:val="000000"/>
              </w:rPr>
              <w:t>2017, 2018 e 2019</w:t>
            </w:r>
            <w:r w:rsidRPr="00512A38">
              <w:rPr>
                <w:rFonts w:ascii="Bookman Old Style" w:hAnsi="Bookman Old Style"/>
                <w:i/>
                <w:color w:val="000000"/>
              </w:rPr>
              <w:t>, al quale possono accedere regioni, comuni, nonché istituzioni culturali e associazioni.</w:t>
            </w:r>
            <w:r w:rsidRPr="00512A38">
              <w:rPr>
                <w:rFonts w:ascii="Bookman Old Style" w:hAnsi="Bookman Old Style"/>
                <w:i/>
                <w:color w:val="000000"/>
              </w:rPr>
              <w:br/>
              <w:t>Per le istituzioni culturali e le associazioni è richiesto il riconoscimento mediante</w:t>
            </w:r>
            <w:r>
              <w:rPr>
                <w:rFonts w:ascii="Bookman Old Style" w:hAnsi="Bookman Old Style"/>
                <w:i/>
                <w:color w:val="000000"/>
              </w:rPr>
              <w:t xml:space="preserve"> </w:t>
            </w:r>
            <w:r w:rsidRPr="00512A38">
              <w:rPr>
                <w:rFonts w:ascii="Bookman Old Style" w:hAnsi="Bookman Old Style"/>
                <w:i/>
                <w:color w:val="000000"/>
              </w:rPr>
              <w:t xml:space="preserve">l’inserimento in appositi </w:t>
            </w:r>
            <w:r w:rsidRPr="00512A38">
              <w:rPr>
                <w:rFonts w:ascii="Bookman Old Style" w:hAnsi="Bookman Old Style"/>
                <w:bCs/>
                <w:i/>
                <w:color w:val="000000"/>
              </w:rPr>
              <w:t>albi</w:t>
            </w:r>
            <w:r w:rsidRPr="00512A38">
              <w:rPr>
                <w:rFonts w:ascii="Bookman Old Style" w:hAnsi="Bookman Old Style"/>
                <w:i/>
                <w:color w:val="000000"/>
              </w:rPr>
              <w:t>, tenuti dai comuni, ovvero l’</w:t>
            </w:r>
            <w:r w:rsidRPr="00512A38">
              <w:rPr>
                <w:rFonts w:ascii="Bookman Old Style" w:hAnsi="Bookman Old Style"/>
                <w:bCs/>
                <w:i/>
                <w:color w:val="000000"/>
              </w:rPr>
              <w:t>operatività da almeno 10 anni</w:t>
            </w:r>
            <w:r w:rsidRPr="00512A38">
              <w:rPr>
                <w:rFonts w:ascii="Bookman Old Style" w:hAnsi="Bookman Old Style"/>
                <w:i/>
                <w:color w:val="000000"/>
              </w:rPr>
              <w:t xml:space="preserve">: si intenderebbe, dunque, che in tal caso, non sia richiesto l’inserimento negli albi comunali. L’accesso alle risorse avviene in base a </w:t>
            </w:r>
            <w:r w:rsidRPr="00512A38">
              <w:rPr>
                <w:rFonts w:ascii="Bookman Old Style" w:hAnsi="Bookman Old Style"/>
                <w:bCs/>
                <w:i/>
                <w:color w:val="000000"/>
              </w:rPr>
              <w:t xml:space="preserve">criteri </w:t>
            </w:r>
            <w:r w:rsidRPr="00512A38">
              <w:rPr>
                <w:rFonts w:ascii="Bookman Old Style" w:hAnsi="Bookman Old Style"/>
                <w:i/>
                <w:color w:val="000000"/>
              </w:rPr>
              <w:t xml:space="preserve">da determinare con </w:t>
            </w:r>
            <w:r w:rsidRPr="00512A38">
              <w:rPr>
                <w:rFonts w:ascii="Bookman Old Style" w:hAnsi="Bookman Old Style"/>
                <w:bCs/>
                <w:i/>
                <w:color w:val="000000"/>
              </w:rPr>
              <w:t xml:space="preserve">decreto </w:t>
            </w:r>
            <w:r w:rsidRPr="00512A38">
              <w:rPr>
                <w:rFonts w:ascii="Bookman Old Style" w:hAnsi="Bookman Old Style"/>
                <w:i/>
                <w:color w:val="000000"/>
              </w:rPr>
              <w:t xml:space="preserve">del Ministro dei beni e delle attività culturali e del turismo, che deve essere emanato entro </w:t>
            </w:r>
            <w:r w:rsidRPr="00512A38">
              <w:rPr>
                <w:rFonts w:ascii="Bookman Old Style" w:hAnsi="Bookman Old Style"/>
                <w:bCs/>
                <w:i/>
                <w:color w:val="000000"/>
              </w:rPr>
              <w:t xml:space="preserve">30 giorni </w:t>
            </w:r>
            <w:r w:rsidRPr="00512A38">
              <w:rPr>
                <w:rFonts w:ascii="Bookman Old Style" w:hAnsi="Bookman Old Style"/>
                <w:i/>
                <w:color w:val="000000"/>
              </w:rPr>
              <w:t>dalla data di entrata in vigore della legge.</w:t>
            </w:r>
          </w:p>
          <w:p w:rsidR="00512A38" w:rsidRPr="00512A38" w:rsidRDefault="00512A38" w:rsidP="00E61052">
            <w:pPr>
              <w:jc w:val="both"/>
              <w:rPr>
                <w:rFonts w:ascii="Bookman Old Style" w:hAnsi="Bookman Old Style"/>
                <w:bCs/>
                <w:i/>
                <w:iCs/>
                <w:color w:val="000000"/>
              </w:rPr>
            </w:pPr>
          </w:p>
        </w:tc>
      </w:tr>
      <w:tr w:rsidR="0000157F" w:rsidTr="0000157F">
        <w:tc>
          <w:tcPr>
            <w:tcW w:w="14427" w:type="dxa"/>
            <w:gridSpan w:val="5"/>
          </w:tcPr>
          <w:p w:rsidR="007A6B92" w:rsidRPr="008B3D73" w:rsidRDefault="000A3A67" w:rsidP="007A6B92">
            <w:pPr>
              <w:shd w:val="clear" w:color="auto" w:fill="FFFFFF"/>
              <w:jc w:val="center"/>
              <w:rPr>
                <w:rFonts w:ascii="Bookman Old Style" w:eastAsia="Times New Roman" w:hAnsi="Bookman Old Style" w:cs="Arial"/>
                <w:b/>
                <w:lang w:eastAsia="it-IT"/>
              </w:rPr>
            </w:pPr>
            <w:r>
              <w:br w:type="page"/>
            </w:r>
          </w:p>
          <w:p w:rsidR="0000157F" w:rsidRPr="00FA3F09" w:rsidRDefault="00A14E29" w:rsidP="006E24E5">
            <w:pPr>
              <w:jc w:val="center"/>
              <w:rPr>
                <w:rFonts w:ascii="Bookman Old Style" w:hAnsi="Bookman Old Style"/>
                <w:color w:val="000000"/>
              </w:rPr>
            </w:pPr>
            <w:r>
              <w:rPr>
                <w:rFonts w:ascii="Bookman Old Style" w:eastAsia="Times New Roman" w:hAnsi="Bookman Old Style" w:cs="Arial"/>
                <w:b/>
                <w:i/>
                <w:iCs/>
                <w:lang w:eastAsia="it-IT"/>
              </w:rPr>
              <w:t>Immigrazione</w:t>
            </w:r>
          </w:p>
        </w:tc>
      </w:tr>
      <w:tr w:rsidR="00F561DD" w:rsidTr="006E24E5">
        <w:tc>
          <w:tcPr>
            <w:tcW w:w="7213" w:type="dxa"/>
            <w:gridSpan w:val="3"/>
          </w:tcPr>
          <w:p w:rsidR="00F561DD" w:rsidRPr="008B3D73" w:rsidRDefault="007A6B92" w:rsidP="006E24E5">
            <w:pPr>
              <w:shd w:val="clear" w:color="auto" w:fill="FFFFFF"/>
              <w:jc w:val="both"/>
              <w:rPr>
                <w:rFonts w:ascii="Bookman Old Style" w:eastAsia="Times New Roman" w:hAnsi="Bookman Old Style" w:cs="Arial"/>
                <w:b/>
                <w:lang w:eastAsia="it-IT"/>
              </w:rPr>
            </w:pPr>
            <w:r>
              <w:rPr>
                <w:rFonts w:ascii="Bookman Old Style" w:eastAsia="Times New Roman" w:hAnsi="Bookman Old Style" w:cs="Arial"/>
                <w:lang w:eastAsia="it-IT"/>
              </w:rPr>
              <w:t>630</w:t>
            </w:r>
            <w:r w:rsidR="00F561DD" w:rsidRPr="00E847D3">
              <w:rPr>
                <w:rFonts w:ascii="Bookman Old Style" w:eastAsia="Times New Roman" w:hAnsi="Bookman Old Style" w:cs="Arial"/>
                <w:lang w:eastAsia="it-IT"/>
              </w:rPr>
              <w:t xml:space="preserve">. Ulteriori risorse, fino all'importo massimo di 280 milioni di </w:t>
            </w:r>
            <w:r w:rsidR="00F561DD" w:rsidRPr="00E847D3">
              <w:rPr>
                <w:rFonts w:ascii="Bookman Old Style" w:eastAsia="Times New Roman" w:hAnsi="Bookman Old Style" w:cs="Arial"/>
                <w:lang w:eastAsia="it-IT"/>
              </w:rPr>
              <w:lastRenderedPageBreak/>
              <w:t>euro, oltre a quelle già stanziate nella parte II (sezione II) della presente legge per le attività di accoglienza, inclusione e integrazione in materia di trattenimento e di accoglienza per stranieri irregolari, possono essere destinate a valere sui programmi operativi cofinanziati dai fondi strutturali e di investimento europei 2014/2020.</w:t>
            </w:r>
          </w:p>
        </w:tc>
        <w:tc>
          <w:tcPr>
            <w:tcW w:w="7214" w:type="dxa"/>
            <w:gridSpan w:val="2"/>
          </w:tcPr>
          <w:p w:rsidR="00F561DD" w:rsidRPr="00220CE8" w:rsidRDefault="00AA1089" w:rsidP="006E24E5">
            <w:pPr>
              <w:jc w:val="both"/>
              <w:rPr>
                <w:rFonts w:ascii="Bookman Old Style" w:hAnsi="Bookman Old Style"/>
                <w:i/>
                <w:color w:val="000000"/>
              </w:rPr>
            </w:pPr>
            <w:r>
              <w:rPr>
                <w:rFonts w:ascii="Bookman Old Style" w:hAnsi="Bookman Old Style"/>
                <w:i/>
                <w:color w:val="000000"/>
              </w:rPr>
              <w:lastRenderedPageBreak/>
              <w:t xml:space="preserve">Il </w:t>
            </w:r>
            <w:r w:rsidR="007A6B92">
              <w:rPr>
                <w:rFonts w:ascii="Bookman Old Style" w:hAnsi="Bookman Old Style"/>
                <w:b/>
                <w:i/>
                <w:color w:val="000000"/>
              </w:rPr>
              <w:t>comma 630</w:t>
            </w:r>
            <w:r>
              <w:rPr>
                <w:rFonts w:ascii="Bookman Old Style" w:hAnsi="Bookman Old Style"/>
                <w:i/>
                <w:color w:val="000000"/>
              </w:rPr>
              <w:t xml:space="preserve"> della disposizione in oggetto</w:t>
            </w:r>
            <w:r w:rsidR="00942924" w:rsidRPr="00220CE8">
              <w:rPr>
                <w:rFonts w:ascii="Bookman Old Style" w:hAnsi="Bookman Old Style"/>
                <w:i/>
                <w:color w:val="000000"/>
              </w:rPr>
              <w:t xml:space="preserve"> prevede che ulteriori </w:t>
            </w:r>
            <w:r w:rsidR="00942924" w:rsidRPr="00220CE8">
              <w:rPr>
                <w:rFonts w:ascii="Bookman Old Style" w:hAnsi="Bookman Old Style"/>
                <w:i/>
                <w:color w:val="000000"/>
              </w:rPr>
              <w:lastRenderedPageBreak/>
              <w:t>risorse per l’anno 2017, pari a complessivi 280 milioni di euro, oltre a quelle già stanziate nella sezione II del bilancio per l'attivazione, la locazione e la gestione dei centri di trattenimento e di accoglienza per stranieri irregolari, potranno essere assegnate a valere sulle risorse aggiuntive destinate dall’Unione europea all’Italia ai sensi dell’articolo 92, paragrafo 3, del Regolamento UE 1303/2013, nell’ambito dei pertinenti programmi operativi cofinanziati dai fondi strutturali 2014/2020.</w:t>
            </w:r>
          </w:p>
        </w:tc>
      </w:tr>
    </w:tbl>
    <w:p w:rsidR="00F561DD" w:rsidRPr="00FA3F09" w:rsidRDefault="00F561DD" w:rsidP="00F561DD">
      <w:pPr>
        <w:spacing w:after="0" w:line="240" w:lineRule="auto"/>
        <w:jc w:val="center"/>
        <w:rPr>
          <w:rFonts w:ascii="Bookman Old Style" w:hAnsi="Bookman Old Style"/>
          <w:b/>
          <w:bCs/>
          <w:color w:val="000000"/>
        </w:rPr>
      </w:pPr>
      <w:r w:rsidRPr="00FA3F09">
        <w:rPr>
          <w:rFonts w:ascii="Bookman Old Style" w:hAnsi="Bookman Old Style"/>
          <w:color w:val="000000"/>
        </w:rPr>
        <w:lastRenderedPageBreak/>
        <w:br/>
      </w:r>
    </w:p>
    <w:p w:rsidR="00F561DD" w:rsidRPr="00FA3F09" w:rsidRDefault="00F561DD" w:rsidP="00F561DD">
      <w:pPr>
        <w:spacing w:after="0" w:line="240" w:lineRule="auto"/>
        <w:jc w:val="both"/>
        <w:rPr>
          <w:rFonts w:ascii="Bookman Old Style" w:hAnsi="Bookman Old Style"/>
          <w:color w:val="000000"/>
        </w:rPr>
      </w:pPr>
    </w:p>
    <w:p w:rsidR="00320FA0" w:rsidRPr="00F561DD" w:rsidRDefault="00320FA0" w:rsidP="00F561DD"/>
    <w:sectPr w:rsidR="00320FA0" w:rsidRPr="00F561DD" w:rsidSect="006E24E5">
      <w:footerReference w:type="default" r:id="rId99"/>
      <w:pgSz w:w="16838" w:h="11906" w:orient="landscape"/>
      <w:pgMar w:top="1134" w:right="141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87D" w:rsidRDefault="0001487D" w:rsidP="00312135">
      <w:pPr>
        <w:spacing w:after="0" w:line="240" w:lineRule="auto"/>
      </w:pPr>
      <w:r>
        <w:separator/>
      </w:r>
    </w:p>
  </w:endnote>
  <w:endnote w:type="continuationSeparator" w:id="0">
    <w:p w:rsidR="0001487D" w:rsidRDefault="0001487D" w:rsidP="00312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imesLTStd-Roman">
    <w:panose1 w:val="00000000000000000000"/>
    <w:charset w:val="00"/>
    <w:family w:val="swiss"/>
    <w:notTrueType/>
    <w:pitch w:val="default"/>
    <w:sig w:usb0="00000003" w:usb1="00000000" w:usb2="00000000" w:usb3="00000000" w:csb0="00000001" w:csb1="00000000"/>
  </w:font>
  <w:font w:name="TimesLTSt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27479"/>
      <w:docPartObj>
        <w:docPartGallery w:val="Page Numbers (Bottom of Page)"/>
        <w:docPartUnique/>
      </w:docPartObj>
    </w:sdtPr>
    <w:sdtContent>
      <w:p w:rsidR="00B13147" w:rsidRDefault="001B0348">
        <w:pPr>
          <w:pStyle w:val="Pidipagina"/>
          <w:jc w:val="center"/>
        </w:pPr>
        <w:fldSimple w:instr=" PAGE   \* MERGEFORMAT ">
          <w:r w:rsidR="00A04372">
            <w:rPr>
              <w:noProof/>
            </w:rPr>
            <w:t>1</w:t>
          </w:r>
        </w:fldSimple>
      </w:p>
    </w:sdtContent>
  </w:sdt>
  <w:p w:rsidR="00B13147" w:rsidRDefault="00B1314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87D" w:rsidRDefault="0001487D" w:rsidP="00312135">
      <w:pPr>
        <w:spacing w:after="0" w:line="240" w:lineRule="auto"/>
      </w:pPr>
      <w:r>
        <w:separator/>
      </w:r>
    </w:p>
  </w:footnote>
  <w:footnote w:type="continuationSeparator" w:id="0">
    <w:p w:rsidR="0001487D" w:rsidRDefault="0001487D" w:rsidP="003121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C51C1"/>
    <w:multiLevelType w:val="hybridMultilevel"/>
    <w:tmpl w:val="5D04D99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B1007C"/>
    <w:multiLevelType w:val="multilevel"/>
    <w:tmpl w:val="7AE05A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11533DC7"/>
    <w:multiLevelType w:val="multilevel"/>
    <w:tmpl w:val="730AAF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259D1E86"/>
    <w:multiLevelType w:val="hybridMultilevel"/>
    <w:tmpl w:val="8A928444"/>
    <w:lvl w:ilvl="0" w:tplc="C7D00314">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D1669E1"/>
    <w:multiLevelType w:val="hybridMultilevel"/>
    <w:tmpl w:val="39E2F1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EC444D1"/>
    <w:multiLevelType w:val="multilevel"/>
    <w:tmpl w:val="A80C3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314031C3"/>
    <w:multiLevelType w:val="multilevel"/>
    <w:tmpl w:val="6E5662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43C65688"/>
    <w:multiLevelType w:val="multilevel"/>
    <w:tmpl w:val="BC3821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47606DCE"/>
    <w:multiLevelType w:val="hybridMultilevel"/>
    <w:tmpl w:val="149ACD26"/>
    <w:lvl w:ilvl="0" w:tplc="416ADC24">
      <w:start w:val="1"/>
      <w:numFmt w:val="lowerLetter"/>
      <w:lvlText w:val="%1)"/>
      <w:lvlJc w:val="left"/>
      <w:pPr>
        <w:ind w:left="720" w:hanging="360"/>
      </w:pPr>
      <w:rPr>
        <w:rFonts w:eastAsiaTheme="majorEastAsia" w:cstheme="majorBidi"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31E6A6C"/>
    <w:multiLevelType w:val="multilevel"/>
    <w:tmpl w:val="E2988E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5CD77BB2"/>
    <w:multiLevelType w:val="hybridMultilevel"/>
    <w:tmpl w:val="34FE55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77549DC"/>
    <w:multiLevelType w:val="hybridMultilevel"/>
    <w:tmpl w:val="8A380AC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696B6894"/>
    <w:multiLevelType w:val="hybridMultilevel"/>
    <w:tmpl w:val="A0DA63DE"/>
    <w:lvl w:ilvl="0" w:tplc="796EE446">
      <w:start w:val="1"/>
      <w:numFmt w:val="bullet"/>
      <w:lvlText w:val="-"/>
      <w:lvlJc w:val="left"/>
      <w:pPr>
        <w:ind w:left="360" w:hanging="360"/>
      </w:pPr>
      <w:rPr>
        <w:rFonts w:ascii="Verdana" w:eastAsiaTheme="minorHAnsi" w:hAnsi="Verdana" w:cs="Verdan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78400E7E"/>
    <w:multiLevelType w:val="hybridMultilevel"/>
    <w:tmpl w:val="D1F401E6"/>
    <w:lvl w:ilvl="0" w:tplc="3A5A011C">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FE84914"/>
    <w:multiLevelType w:val="hybridMultilevel"/>
    <w:tmpl w:val="901291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3"/>
  </w:num>
  <w:num w:numId="4">
    <w:abstractNumId w:val="11"/>
  </w:num>
  <w:num w:numId="5">
    <w:abstractNumId w:val="8"/>
  </w:num>
  <w:num w:numId="6">
    <w:abstractNumId w:val="4"/>
  </w:num>
  <w:num w:numId="7">
    <w:abstractNumId w:val="10"/>
  </w:num>
  <w:num w:numId="8">
    <w:abstractNumId w:val="0"/>
  </w:num>
  <w:num w:numId="9">
    <w:abstractNumId w:val="12"/>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9"/>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965238"/>
    <w:rsid w:val="0000016B"/>
    <w:rsid w:val="0000157F"/>
    <w:rsid w:val="00004FCE"/>
    <w:rsid w:val="00006597"/>
    <w:rsid w:val="000131CC"/>
    <w:rsid w:val="00013AF8"/>
    <w:rsid w:val="0001487D"/>
    <w:rsid w:val="000355CA"/>
    <w:rsid w:val="00045C15"/>
    <w:rsid w:val="000525B4"/>
    <w:rsid w:val="000572EC"/>
    <w:rsid w:val="00073AD4"/>
    <w:rsid w:val="000778A2"/>
    <w:rsid w:val="00086B81"/>
    <w:rsid w:val="000A3A67"/>
    <w:rsid w:val="000A69A2"/>
    <w:rsid w:val="000E6F2C"/>
    <w:rsid w:val="00104AA3"/>
    <w:rsid w:val="001152CF"/>
    <w:rsid w:val="0011672C"/>
    <w:rsid w:val="0012230E"/>
    <w:rsid w:val="0012490B"/>
    <w:rsid w:val="00136435"/>
    <w:rsid w:val="0014299D"/>
    <w:rsid w:val="00155ED8"/>
    <w:rsid w:val="00160C92"/>
    <w:rsid w:val="00163E20"/>
    <w:rsid w:val="00175ED3"/>
    <w:rsid w:val="00177D83"/>
    <w:rsid w:val="00190A11"/>
    <w:rsid w:val="0019285B"/>
    <w:rsid w:val="001A11A5"/>
    <w:rsid w:val="001B0348"/>
    <w:rsid w:val="001B57EB"/>
    <w:rsid w:val="001C12D0"/>
    <w:rsid w:val="001C1615"/>
    <w:rsid w:val="001D2A07"/>
    <w:rsid w:val="001F22D1"/>
    <w:rsid w:val="002068E0"/>
    <w:rsid w:val="00220CE8"/>
    <w:rsid w:val="00225CD3"/>
    <w:rsid w:val="0023346F"/>
    <w:rsid w:val="00233EC0"/>
    <w:rsid w:val="00244841"/>
    <w:rsid w:val="00245106"/>
    <w:rsid w:val="00253A13"/>
    <w:rsid w:val="00267249"/>
    <w:rsid w:val="002802E4"/>
    <w:rsid w:val="00281C44"/>
    <w:rsid w:val="00284DB0"/>
    <w:rsid w:val="002B111B"/>
    <w:rsid w:val="002C3F4B"/>
    <w:rsid w:val="002D0EB8"/>
    <w:rsid w:val="00307BD6"/>
    <w:rsid w:val="00312135"/>
    <w:rsid w:val="003160DE"/>
    <w:rsid w:val="00320FA0"/>
    <w:rsid w:val="00322103"/>
    <w:rsid w:val="00334ADE"/>
    <w:rsid w:val="00344B21"/>
    <w:rsid w:val="003743D6"/>
    <w:rsid w:val="003748E0"/>
    <w:rsid w:val="003835CA"/>
    <w:rsid w:val="00394CEB"/>
    <w:rsid w:val="003A7A52"/>
    <w:rsid w:val="003B1484"/>
    <w:rsid w:val="003D326B"/>
    <w:rsid w:val="003D7F7B"/>
    <w:rsid w:val="003E7731"/>
    <w:rsid w:val="00412B3C"/>
    <w:rsid w:val="00412EC1"/>
    <w:rsid w:val="004217C7"/>
    <w:rsid w:val="00422E24"/>
    <w:rsid w:val="00424EF8"/>
    <w:rsid w:val="004437B0"/>
    <w:rsid w:val="00456E9B"/>
    <w:rsid w:val="00472216"/>
    <w:rsid w:val="00481472"/>
    <w:rsid w:val="00490C8A"/>
    <w:rsid w:val="004959EF"/>
    <w:rsid w:val="004A31F0"/>
    <w:rsid w:val="004C1872"/>
    <w:rsid w:val="004F2F6D"/>
    <w:rsid w:val="004F3E3A"/>
    <w:rsid w:val="00512A38"/>
    <w:rsid w:val="00517017"/>
    <w:rsid w:val="00520A25"/>
    <w:rsid w:val="00542C4F"/>
    <w:rsid w:val="00543037"/>
    <w:rsid w:val="00556D58"/>
    <w:rsid w:val="00557A24"/>
    <w:rsid w:val="005B3128"/>
    <w:rsid w:val="005B4A99"/>
    <w:rsid w:val="005B6D86"/>
    <w:rsid w:val="005C0ED5"/>
    <w:rsid w:val="005E1323"/>
    <w:rsid w:val="005E4704"/>
    <w:rsid w:val="005E7087"/>
    <w:rsid w:val="00613A58"/>
    <w:rsid w:val="00613EBE"/>
    <w:rsid w:val="0063040A"/>
    <w:rsid w:val="00636E48"/>
    <w:rsid w:val="00644BA2"/>
    <w:rsid w:val="006461E0"/>
    <w:rsid w:val="0064703F"/>
    <w:rsid w:val="00647FE0"/>
    <w:rsid w:val="00655709"/>
    <w:rsid w:val="00686237"/>
    <w:rsid w:val="006961FC"/>
    <w:rsid w:val="0069667D"/>
    <w:rsid w:val="00696907"/>
    <w:rsid w:val="006A2746"/>
    <w:rsid w:val="006A6CF6"/>
    <w:rsid w:val="006C3E8D"/>
    <w:rsid w:val="006D5CD4"/>
    <w:rsid w:val="006E24E5"/>
    <w:rsid w:val="006F33C4"/>
    <w:rsid w:val="006F6175"/>
    <w:rsid w:val="006F6E07"/>
    <w:rsid w:val="006F7583"/>
    <w:rsid w:val="00712400"/>
    <w:rsid w:val="00734676"/>
    <w:rsid w:val="007541B3"/>
    <w:rsid w:val="0076026C"/>
    <w:rsid w:val="007678FF"/>
    <w:rsid w:val="00775B1C"/>
    <w:rsid w:val="0078218C"/>
    <w:rsid w:val="00791E79"/>
    <w:rsid w:val="007A3CAF"/>
    <w:rsid w:val="007A4F08"/>
    <w:rsid w:val="007A6B92"/>
    <w:rsid w:val="007B08CE"/>
    <w:rsid w:val="007C5EF9"/>
    <w:rsid w:val="007D329F"/>
    <w:rsid w:val="007E0849"/>
    <w:rsid w:val="007E364B"/>
    <w:rsid w:val="00810F1E"/>
    <w:rsid w:val="008142AD"/>
    <w:rsid w:val="008223D5"/>
    <w:rsid w:val="00835B9B"/>
    <w:rsid w:val="00843848"/>
    <w:rsid w:val="008856E3"/>
    <w:rsid w:val="00890641"/>
    <w:rsid w:val="008963BB"/>
    <w:rsid w:val="008A026A"/>
    <w:rsid w:val="008A761A"/>
    <w:rsid w:val="008B5E19"/>
    <w:rsid w:val="008D619C"/>
    <w:rsid w:val="00901579"/>
    <w:rsid w:val="009059BD"/>
    <w:rsid w:val="009071F1"/>
    <w:rsid w:val="00917C5B"/>
    <w:rsid w:val="00924513"/>
    <w:rsid w:val="0092722F"/>
    <w:rsid w:val="00942924"/>
    <w:rsid w:val="00950633"/>
    <w:rsid w:val="00956886"/>
    <w:rsid w:val="009617BC"/>
    <w:rsid w:val="009650B5"/>
    <w:rsid w:val="00965238"/>
    <w:rsid w:val="00975571"/>
    <w:rsid w:val="009B2E9E"/>
    <w:rsid w:val="009B3C03"/>
    <w:rsid w:val="009B70C3"/>
    <w:rsid w:val="009C12F7"/>
    <w:rsid w:val="009D3C10"/>
    <w:rsid w:val="009D42CD"/>
    <w:rsid w:val="009E75EA"/>
    <w:rsid w:val="009F3011"/>
    <w:rsid w:val="00A0018B"/>
    <w:rsid w:val="00A04372"/>
    <w:rsid w:val="00A14E29"/>
    <w:rsid w:val="00A155E4"/>
    <w:rsid w:val="00A26A3B"/>
    <w:rsid w:val="00A40558"/>
    <w:rsid w:val="00A51C64"/>
    <w:rsid w:val="00A52622"/>
    <w:rsid w:val="00A55B1E"/>
    <w:rsid w:val="00A829BD"/>
    <w:rsid w:val="00A93536"/>
    <w:rsid w:val="00A93B3E"/>
    <w:rsid w:val="00A979FE"/>
    <w:rsid w:val="00AA1089"/>
    <w:rsid w:val="00AA6F77"/>
    <w:rsid w:val="00AB54CF"/>
    <w:rsid w:val="00AB61B2"/>
    <w:rsid w:val="00AC16F8"/>
    <w:rsid w:val="00AE627C"/>
    <w:rsid w:val="00AE6435"/>
    <w:rsid w:val="00AF3C7B"/>
    <w:rsid w:val="00B0126D"/>
    <w:rsid w:val="00B01B7F"/>
    <w:rsid w:val="00B13147"/>
    <w:rsid w:val="00B20FE5"/>
    <w:rsid w:val="00B21F98"/>
    <w:rsid w:val="00B22AA6"/>
    <w:rsid w:val="00B25DA7"/>
    <w:rsid w:val="00B371F3"/>
    <w:rsid w:val="00B40E37"/>
    <w:rsid w:val="00B6096C"/>
    <w:rsid w:val="00B63A6A"/>
    <w:rsid w:val="00B7471B"/>
    <w:rsid w:val="00B76EE8"/>
    <w:rsid w:val="00B77230"/>
    <w:rsid w:val="00B77645"/>
    <w:rsid w:val="00B90A33"/>
    <w:rsid w:val="00BB3B73"/>
    <w:rsid w:val="00BD127C"/>
    <w:rsid w:val="00BD2899"/>
    <w:rsid w:val="00BF45A0"/>
    <w:rsid w:val="00C15399"/>
    <w:rsid w:val="00C16ADF"/>
    <w:rsid w:val="00C25018"/>
    <w:rsid w:val="00C27535"/>
    <w:rsid w:val="00C53777"/>
    <w:rsid w:val="00C626F9"/>
    <w:rsid w:val="00C70012"/>
    <w:rsid w:val="00C82B53"/>
    <w:rsid w:val="00C96652"/>
    <w:rsid w:val="00CA237A"/>
    <w:rsid w:val="00CA2B90"/>
    <w:rsid w:val="00CB1F2E"/>
    <w:rsid w:val="00CB39B7"/>
    <w:rsid w:val="00CB3F67"/>
    <w:rsid w:val="00CC436E"/>
    <w:rsid w:val="00CD0958"/>
    <w:rsid w:val="00CD4371"/>
    <w:rsid w:val="00CE08AF"/>
    <w:rsid w:val="00CE53AB"/>
    <w:rsid w:val="00D07DC2"/>
    <w:rsid w:val="00D1695F"/>
    <w:rsid w:val="00D2241F"/>
    <w:rsid w:val="00D306E9"/>
    <w:rsid w:val="00D333FB"/>
    <w:rsid w:val="00D35099"/>
    <w:rsid w:val="00D41DE6"/>
    <w:rsid w:val="00D4757C"/>
    <w:rsid w:val="00D53E9C"/>
    <w:rsid w:val="00D573CB"/>
    <w:rsid w:val="00D64C05"/>
    <w:rsid w:val="00D65788"/>
    <w:rsid w:val="00D9463E"/>
    <w:rsid w:val="00DA1BE1"/>
    <w:rsid w:val="00DA1DAE"/>
    <w:rsid w:val="00DA68A5"/>
    <w:rsid w:val="00DB08D6"/>
    <w:rsid w:val="00DB3336"/>
    <w:rsid w:val="00DB56FD"/>
    <w:rsid w:val="00DB7BC5"/>
    <w:rsid w:val="00DC61B5"/>
    <w:rsid w:val="00DE2202"/>
    <w:rsid w:val="00DE4DE5"/>
    <w:rsid w:val="00E130C8"/>
    <w:rsid w:val="00E4765B"/>
    <w:rsid w:val="00E54D7E"/>
    <w:rsid w:val="00E5606A"/>
    <w:rsid w:val="00E60B1E"/>
    <w:rsid w:val="00E61052"/>
    <w:rsid w:val="00E64C89"/>
    <w:rsid w:val="00E75DBB"/>
    <w:rsid w:val="00E83612"/>
    <w:rsid w:val="00E869E6"/>
    <w:rsid w:val="00E91485"/>
    <w:rsid w:val="00E940F0"/>
    <w:rsid w:val="00EB71D3"/>
    <w:rsid w:val="00EC67B0"/>
    <w:rsid w:val="00EC7EE7"/>
    <w:rsid w:val="00ED1847"/>
    <w:rsid w:val="00F07B8A"/>
    <w:rsid w:val="00F1739E"/>
    <w:rsid w:val="00F21FD7"/>
    <w:rsid w:val="00F240C2"/>
    <w:rsid w:val="00F403AE"/>
    <w:rsid w:val="00F415AA"/>
    <w:rsid w:val="00F5190B"/>
    <w:rsid w:val="00F561DD"/>
    <w:rsid w:val="00F61ED1"/>
    <w:rsid w:val="00F63709"/>
    <w:rsid w:val="00F64397"/>
    <w:rsid w:val="00F661EC"/>
    <w:rsid w:val="00F67EC4"/>
    <w:rsid w:val="00F87DBD"/>
    <w:rsid w:val="00F95E70"/>
    <w:rsid w:val="00FB5A2A"/>
    <w:rsid w:val="00FB7D52"/>
    <w:rsid w:val="00FC47E0"/>
    <w:rsid w:val="00FC5C93"/>
    <w:rsid w:val="00FD14C0"/>
    <w:rsid w:val="00FE1762"/>
    <w:rsid w:val="00FE3F4E"/>
    <w:rsid w:val="00FE507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61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6523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5238"/>
  </w:style>
  <w:style w:type="paragraph" w:styleId="Pidipagina">
    <w:name w:val="footer"/>
    <w:basedOn w:val="Normale"/>
    <w:link w:val="PidipaginaCarattere"/>
    <w:uiPriority w:val="99"/>
    <w:unhideWhenUsed/>
    <w:rsid w:val="0096523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5238"/>
  </w:style>
  <w:style w:type="table" w:styleId="Grigliatabella">
    <w:name w:val="Table Grid"/>
    <w:basedOn w:val="Tabellanormale"/>
    <w:uiPriority w:val="59"/>
    <w:rsid w:val="009652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965238"/>
    <w:pPr>
      <w:ind w:left="720"/>
      <w:contextualSpacing/>
    </w:pPr>
  </w:style>
  <w:style w:type="character" w:styleId="Collegamentoipertestuale">
    <w:name w:val="Hyperlink"/>
    <w:basedOn w:val="Carpredefinitoparagrafo"/>
    <w:uiPriority w:val="99"/>
    <w:unhideWhenUsed/>
    <w:rsid w:val="0063040A"/>
    <w:rPr>
      <w:color w:val="0000FF" w:themeColor="hyperlink"/>
      <w:u w:val="single"/>
    </w:rPr>
  </w:style>
  <w:style w:type="paragraph" w:customStyle="1" w:styleId="Textbody">
    <w:name w:val="Text body"/>
    <w:basedOn w:val="Normale"/>
    <w:qFormat/>
    <w:rsid w:val="00D53E9C"/>
    <w:pPr>
      <w:suppressAutoHyphens/>
      <w:spacing w:after="140" w:line="288" w:lineRule="auto"/>
      <w:textAlignment w:val="baseline"/>
    </w:pPr>
    <w:rPr>
      <w:rFonts w:ascii="Liberation Serif" w:eastAsia="SimSun" w:hAnsi="Liberation Serif" w:cs="Arial"/>
      <w:color w:val="00000A"/>
      <w:sz w:val="24"/>
      <w:szCs w:val="24"/>
      <w:lang w:eastAsia="zh-CN" w:bidi="hi-IN"/>
    </w:rPr>
  </w:style>
  <w:style w:type="paragraph" w:customStyle="1" w:styleId="Default">
    <w:name w:val="Default"/>
    <w:rsid w:val="00D9463E"/>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95063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50633"/>
    <w:rPr>
      <w:rFonts w:ascii="Segoe UI" w:hAnsi="Segoe UI" w:cs="Segoe UI"/>
      <w:sz w:val="18"/>
      <w:szCs w:val="18"/>
    </w:rPr>
  </w:style>
  <w:style w:type="character" w:customStyle="1" w:styleId="apple-converted-space">
    <w:name w:val="apple-converted-space"/>
    <w:basedOn w:val="Carpredefinitoparagrafo"/>
    <w:rsid w:val="00FC47E0"/>
  </w:style>
  <w:style w:type="paragraph" w:styleId="NormaleWeb">
    <w:name w:val="Normal (Web)"/>
    <w:basedOn w:val="Normale"/>
    <w:uiPriority w:val="99"/>
    <w:unhideWhenUsed/>
    <w:rsid w:val="0097557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90514359">
      <w:bodyDiv w:val="1"/>
      <w:marLeft w:val="0"/>
      <w:marRight w:val="0"/>
      <w:marTop w:val="0"/>
      <w:marBottom w:val="0"/>
      <w:divBdr>
        <w:top w:val="none" w:sz="0" w:space="0" w:color="auto"/>
        <w:left w:val="none" w:sz="0" w:space="0" w:color="auto"/>
        <w:bottom w:val="none" w:sz="0" w:space="0" w:color="auto"/>
        <w:right w:val="none" w:sz="0" w:space="0" w:color="auto"/>
      </w:divBdr>
    </w:div>
    <w:div w:id="824472191">
      <w:bodyDiv w:val="1"/>
      <w:marLeft w:val="0"/>
      <w:marRight w:val="0"/>
      <w:marTop w:val="0"/>
      <w:marBottom w:val="0"/>
      <w:divBdr>
        <w:top w:val="none" w:sz="0" w:space="0" w:color="auto"/>
        <w:left w:val="none" w:sz="0" w:space="0" w:color="auto"/>
        <w:bottom w:val="none" w:sz="0" w:space="0" w:color="auto"/>
        <w:right w:val="none" w:sz="0" w:space="0" w:color="auto"/>
      </w:divBdr>
    </w:div>
    <w:div w:id="962232050">
      <w:bodyDiv w:val="1"/>
      <w:marLeft w:val="0"/>
      <w:marRight w:val="0"/>
      <w:marTop w:val="0"/>
      <w:marBottom w:val="0"/>
      <w:divBdr>
        <w:top w:val="none" w:sz="0" w:space="0" w:color="auto"/>
        <w:left w:val="none" w:sz="0" w:space="0" w:color="auto"/>
        <w:bottom w:val="none" w:sz="0" w:space="0" w:color="auto"/>
        <w:right w:val="none" w:sz="0" w:space="0" w:color="auto"/>
      </w:divBdr>
    </w:div>
    <w:div w:id="1481922087">
      <w:bodyDiv w:val="1"/>
      <w:marLeft w:val="0"/>
      <w:marRight w:val="0"/>
      <w:marTop w:val="0"/>
      <w:marBottom w:val="0"/>
      <w:divBdr>
        <w:top w:val="none" w:sz="0" w:space="0" w:color="auto"/>
        <w:left w:val="none" w:sz="0" w:space="0" w:color="auto"/>
        <w:bottom w:val="none" w:sz="0" w:space="0" w:color="auto"/>
        <w:right w:val="none" w:sz="0" w:space="0" w:color="auto"/>
      </w:divBdr>
    </w:div>
    <w:div w:id="1570576271">
      <w:bodyDiv w:val="1"/>
      <w:marLeft w:val="0"/>
      <w:marRight w:val="0"/>
      <w:marTop w:val="0"/>
      <w:marBottom w:val="0"/>
      <w:divBdr>
        <w:top w:val="none" w:sz="0" w:space="0" w:color="auto"/>
        <w:left w:val="none" w:sz="0" w:space="0" w:color="auto"/>
        <w:bottom w:val="none" w:sz="0" w:space="0" w:color="auto"/>
        <w:right w:val="none" w:sz="0" w:space="0" w:color="auto"/>
      </w:divBdr>
    </w:div>
    <w:div w:id="163849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ormattiva.it/uri-res/N2Ls?urn:nir:stato:decreto.legge:2015-06-19;78" TargetMode="External"/><Relationship Id="rId21" Type="http://schemas.openxmlformats.org/officeDocument/2006/relationships/hyperlink" Target="http://www.normattiva.it/uri-res/N2Ls?urn:nir:stato:legge:2014-06-23;89" TargetMode="External"/><Relationship Id="rId34" Type="http://schemas.openxmlformats.org/officeDocument/2006/relationships/hyperlink" Target="http://www.normattiva.it/uri-res/N2Ls?urn:nir:stato:decreto.legge:2016-06-24;113" TargetMode="External"/><Relationship Id="rId42" Type="http://schemas.openxmlformats.org/officeDocument/2006/relationships/hyperlink" Target="http://www.normattiva.it/uri-res/N2Ls?urn:nir:stato:decreto.legislativo:2000-08-18;267" TargetMode="External"/><Relationship Id="rId47" Type="http://schemas.openxmlformats.org/officeDocument/2006/relationships/hyperlink" Target="http://www.normattiva.it/uri-res/N2Ls?urn:nir:stato:legge:2015-12-28;208" TargetMode="External"/><Relationship Id="rId50" Type="http://schemas.openxmlformats.org/officeDocument/2006/relationships/hyperlink" Target="http://www.normattiva.it/uri-res/N2Ls?urn:nir:stato:decreto.legislativo:2000-08-18;267" TargetMode="External"/><Relationship Id="rId55" Type="http://schemas.openxmlformats.org/officeDocument/2006/relationships/hyperlink" Target="http://www.normattiva.it/uri-res/N2Ls?urn:nir:stato:decreto.legislativo:2005-03-07;82" TargetMode="External"/><Relationship Id="rId63" Type="http://schemas.openxmlformats.org/officeDocument/2006/relationships/hyperlink" Target="http://www.normattiva.it/uri-res/N2Ls?urn:nir:stato:legge:2012-12-24;243" TargetMode="External"/><Relationship Id="rId68" Type="http://schemas.openxmlformats.org/officeDocument/2006/relationships/hyperlink" Target="http://www.normattiva.it/uri-res/N2Ls?urn:nir:stato:decreto.legislativo:2011-06-23;118" TargetMode="External"/><Relationship Id="rId76" Type="http://schemas.openxmlformats.org/officeDocument/2006/relationships/hyperlink" Target="http://www.normattiva.it/uri-res/N2Ls?urn:nir:stato:decreto.legislativo:2005;82" TargetMode="External"/><Relationship Id="rId84" Type="http://schemas.openxmlformats.org/officeDocument/2006/relationships/hyperlink" Target="http://www.normattiva.it/uri-res/N2Ls?urn:nir:stato:decreto.legge:2010-05-31;78" TargetMode="External"/><Relationship Id="rId89" Type="http://schemas.openxmlformats.org/officeDocument/2006/relationships/hyperlink" Target="http://www.normattiva.it/uri-res/N2Ls?urn:nir:stato:legge:2012-12-24;228" TargetMode="External"/><Relationship Id="rId97" Type="http://schemas.openxmlformats.org/officeDocument/2006/relationships/hyperlink" Target="http://www.normattiva.it/uri-res/N2Ls?urn:nir:stato:legge:2012-12-24;243" TargetMode="External"/><Relationship Id="rId7" Type="http://schemas.openxmlformats.org/officeDocument/2006/relationships/endnotes" Target="endnotes.xml"/><Relationship Id="rId71" Type="http://schemas.openxmlformats.org/officeDocument/2006/relationships/hyperlink" Target="http://www.normattiva.it/uri-res/N2Ls?urn:nir:stato:decreto.legislativo:2000-08-18;267" TargetMode="External"/><Relationship Id="rId92" Type="http://schemas.openxmlformats.org/officeDocument/2006/relationships/hyperlink" Target="http://www.normattiva.it/uri-res/N2Ls?urn:nir:stato:legge:2012-12-24;243" TargetMode="External"/><Relationship Id="rId2" Type="http://schemas.openxmlformats.org/officeDocument/2006/relationships/numbering" Target="numbering.xml"/><Relationship Id="rId16" Type="http://schemas.openxmlformats.org/officeDocument/2006/relationships/hyperlink" Target="http://www.normattiva.it/uri-res/N2Ls?urn:nir:stato:decreto.legge:2014-04-24;66" TargetMode="External"/><Relationship Id="rId29" Type="http://schemas.openxmlformats.org/officeDocument/2006/relationships/hyperlink" Target="http://www.normattiva.it/uri-res/N2Ls?urn:nir:stato:legge:2013-06-06;64" TargetMode="External"/><Relationship Id="rId11" Type="http://schemas.openxmlformats.org/officeDocument/2006/relationships/hyperlink" Target="http://www.normattiva.it/uri-res/N2Ls?urn:nir:stato:decreto.legge:2016-10-17;189" TargetMode="External"/><Relationship Id="rId24" Type="http://schemas.openxmlformats.org/officeDocument/2006/relationships/hyperlink" Target="http://www.normattiva.it/uri-res/N2Ls?urn:nir:stato:decreto.legge:2013-04-08;35" TargetMode="External"/><Relationship Id="rId32" Type="http://schemas.openxmlformats.org/officeDocument/2006/relationships/hyperlink" Target="http://www.normattiva.it/uri-res/N2Ls?urn:nir:stato:decreto.legge:2014-04-24;66" TargetMode="External"/><Relationship Id="rId37" Type="http://schemas.openxmlformats.org/officeDocument/2006/relationships/hyperlink" Target="http://www.normattiva.it/uri-res/N2Ls?urn:nir:stato:decreto.legge:2014-04-24;66" TargetMode="External"/><Relationship Id="rId40" Type="http://schemas.openxmlformats.org/officeDocument/2006/relationships/hyperlink" Target="http://www.normattiva.it/uri-res/N2Ls?urn:nir:stato:decreto.legge:2012-07-06;95" TargetMode="External"/><Relationship Id="rId45" Type="http://schemas.openxmlformats.org/officeDocument/2006/relationships/hyperlink" Target="http://www.normattiva.it/uri-res/N2Ls?urn:nir:stato:decreto.legge:2011-12-06;201" TargetMode="External"/><Relationship Id="rId53" Type="http://schemas.openxmlformats.org/officeDocument/2006/relationships/hyperlink" Target="http://www.normattiva.it/uri-res/N2Ls?urn:nir:stato:legge:2009-12-31;196" TargetMode="External"/><Relationship Id="rId58" Type="http://schemas.openxmlformats.org/officeDocument/2006/relationships/hyperlink" Target="http://www.normattiva.it/uri-res/N2Ls?urn:nir:stato:legge:2015-12-28;208" TargetMode="External"/><Relationship Id="rId66" Type="http://schemas.openxmlformats.org/officeDocument/2006/relationships/hyperlink" Target="http://www.normattiva.it/uri-res/N2Ls?urn:nir:stato:decreto.legislativo:2011-06-23;118" TargetMode="External"/><Relationship Id="rId74" Type="http://schemas.openxmlformats.org/officeDocument/2006/relationships/hyperlink" Target="http://pareggiobilancio.mef.gov.it" TargetMode="External"/><Relationship Id="rId79" Type="http://schemas.openxmlformats.org/officeDocument/2006/relationships/hyperlink" Target="http://www.normattiva.it/uri-res/N2Ls?urn:nir:stato:legge:2012-12-24;228" TargetMode="External"/><Relationship Id="rId87" Type="http://schemas.openxmlformats.org/officeDocument/2006/relationships/hyperlink" Target="http://www.normattiva.it/uri-res/N2Ls?urn:nir:stato:decreto.legislativo:2000-08-18;267" TargetMode="External"/><Relationship Id="rId5" Type="http://schemas.openxmlformats.org/officeDocument/2006/relationships/webSettings" Target="webSettings.xml"/><Relationship Id="rId61" Type="http://schemas.openxmlformats.org/officeDocument/2006/relationships/hyperlink" Target="http://www.normattiva.it/uri-res/N2Ls?urn:nir:stato:legge:2015-12-28;208" TargetMode="External"/><Relationship Id="rId82" Type="http://schemas.openxmlformats.org/officeDocument/2006/relationships/hyperlink" Target="http://www.normattiva.it/uri-res/N2Ls?urn:nir:stato:legge:2010-07-30;122" TargetMode="External"/><Relationship Id="rId90" Type="http://schemas.openxmlformats.org/officeDocument/2006/relationships/hyperlink" Target="http://www.normattiva.it/uri-res/N2Ls?urn:nir:stato:legge:2012-12-24;228" TargetMode="External"/><Relationship Id="rId95" Type="http://schemas.openxmlformats.org/officeDocument/2006/relationships/hyperlink" Target="http://www.normattiva.it/uri-res/N2Ls?urn:nir:stato:legge:2012-12-24;243" TargetMode="External"/><Relationship Id="rId19" Type="http://schemas.openxmlformats.org/officeDocument/2006/relationships/hyperlink" Target="http://www.normattiva.it/uri-res/N2Ls?urn:nir:stato:legge:2014-06-23;89" TargetMode="External"/><Relationship Id="rId14" Type="http://schemas.openxmlformats.org/officeDocument/2006/relationships/hyperlink" Target="http://www.normattiva.it/uri-res/N2Ls?urn:nir:stato:legge:2015-12-28;208" TargetMode="External"/><Relationship Id="rId22" Type="http://schemas.openxmlformats.org/officeDocument/2006/relationships/hyperlink" Target="http://www.normattiva.it/uri-res/N2Ls?urn:nir:stato:decreto.legge:2013-06-28;76" TargetMode="External"/><Relationship Id="rId27" Type="http://schemas.openxmlformats.org/officeDocument/2006/relationships/hyperlink" Target="http://www.normattiva.it/uri-res/N2Ls?urn:nir:stato:legge:2015-08-06;125" TargetMode="External"/><Relationship Id="rId30" Type="http://schemas.openxmlformats.org/officeDocument/2006/relationships/hyperlink" Target="http://www.normattiva.it/uri-res/N2Ls?urn:nir:stato:decreto.legge:2014-04-24;66" TargetMode="External"/><Relationship Id="rId35" Type="http://schemas.openxmlformats.org/officeDocument/2006/relationships/hyperlink" Target="http://www.normattiva.it/uri-res/N2Ls?urn:nir:stato:legge:2016-08-07;160" TargetMode="External"/><Relationship Id="rId43" Type="http://schemas.openxmlformats.org/officeDocument/2006/relationships/hyperlink" Target="http://www.normattiva.it/uri-res/N2Ls?urn:nir:stato:legge:2012-12-24;228" TargetMode="External"/><Relationship Id="rId48" Type="http://schemas.openxmlformats.org/officeDocument/2006/relationships/hyperlink" Target="http://www.normattiva.it/uri-res/N2Ls?urn:nir:stato:decreto.legislativo:2000-08-18;267" TargetMode="External"/><Relationship Id="rId56" Type="http://schemas.openxmlformats.org/officeDocument/2006/relationships/hyperlink" Target="http://www.normattiva.it/uri-res/N2Ls?urn:nir:stato:decreto.legislativo:2006-01-24;36" TargetMode="External"/><Relationship Id="rId64" Type="http://schemas.openxmlformats.org/officeDocument/2006/relationships/hyperlink" Target="http://www.normattiva.it/uri-res/N2Ls?urn:nir:stato:legge:2012-12-24;243" TargetMode="External"/><Relationship Id="rId69" Type="http://schemas.openxmlformats.org/officeDocument/2006/relationships/hyperlink" Target="http://www.normattiva.it/uri-res/N2Ls?urn:nir:stato:decreto.legislativo:2000-08-18;267" TargetMode="External"/><Relationship Id="rId77" Type="http://schemas.openxmlformats.org/officeDocument/2006/relationships/hyperlink" Target="http://www.normattiva.it/uri-res/N2Ls?urn:nir:stato:legge:2012-12-24;243" TargetMode="External"/><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normattiva.it/uri-res/N2Ls?urn:nir:stato:legge:2015-12-28;208" TargetMode="External"/><Relationship Id="rId72" Type="http://schemas.openxmlformats.org/officeDocument/2006/relationships/hyperlink" Target="http://www.normattiva.it/uri-res/N2Ls?urn:nir:stato:decreto.legislativo:2011-06-23;118" TargetMode="External"/><Relationship Id="rId80" Type="http://schemas.openxmlformats.org/officeDocument/2006/relationships/hyperlink" Target="http://www.normattiva.it/uri-res/N2Ls?urn:nir:stato:legge:2012-12-24;243" TargetMode="External"/><Relationship Id="rId85" Type="http://schemas.openxmlformats.org/officeDocument/2006/relationships/hyperlink" Target="http://www.normattiva.it/uri-res/N2Ls?urn:nir:stato:legge:2010-07-30;122" TargetMode="External"/><Relationship Id="rId93" Type="http://schemas.openxmlformats.org/officeDocument/2006/relationships/hyperlink" Target="http://www.normattiva.it/uri-res/N2Ls?urn:nir:presidente.consiglio.ministri:decreto:2016-04-27" TargetMode="External"/><Relationship Id="rId98" Type="http://schemas.openxmlformats.org/officeDocument/2006/relationships/hyperlink" Target="http://www.normattiva.it/uri-res/N2Ls?urn:nir:stato:legge:2012-12-24;243" TargetMode="External"/><Relationship Id="rId3" Type="http://schemas.openxmlformats.org/officeDocument/2006/relationships/styles" Target="styles.xml"/><Relationship Id="rId12" Type="http://schemas.openxmlformats.org/officeDocument/2006/relationships/hyperlink" Target="http://www.normattiva.it/uri-res/N2Ls?urn:nir:stato:decreto.legge:2016-10-17;189" TargetMode="External"/><Relationship Id="rId17" Type="http://schemas.openxmlformats.org/officeDocument/2006/relationships/hyperlink" Target="http://www.normattiva.it/uri-res/N2Ls?urn:nir:stato:legge:2014-06-23;89" TargetMode="External"/><Relationship Id="rId25" Type="http://schemas.openxmlformats.org/officeDocument/2006/relationships/hyperlink" Target="http://www.normattiva.it/uri-res/N2Ls?urn:nir:stato:legge:2013-06-06;64" TargetMode="External"/><Relationship Id="rId33" Type="http://schemas.openxmlformats.org/officeDocument/2006/relationships/hyperlink" Target="http://www.normattiva.it/uri-res/N2Ls?urn:nir:stato:legge:2014-06-23;89" TargetMode="External"/><Relationship Id="rId38" Type="http://schemas.openxmlformats.org/officeDocument/2006/relationships/hyperlink" Target="http://www.normattiva.it/uri-res/N2Ls?urn:nir:stato:legge:2012-12-24;243" TargetMode="External"/><Relationship Id="rId46" Type="http://schemas.openxmlformats.org/officeDocument/2006/relationships/hyperlink" Target="http://www.normattiva.it/uri-res/N2Ls?urn:nir:stato:legge:2011-12-22;214" TargetMode="External"/><Relationship Id="rId59" Type="http://schemas.openxmlformats.org/officeDocument/2006/relationships/hyperlink" Target="http://www.normattiva.it/uri-res/N2Ls?urn:nir:stato:legge:2015-12-28;208" TargetMode="External"/><Relationship Id="rId67" Type="http://schemas.openxmlformats.org/officeDocument/2006/relationships/hyperlink" Target="http://www.normattiva.it/uri-res/N2Ls?urn:nir:stato:legge:2012-12-24;243" TargetMode="External"/><Relationship Id="rId20" Type="http://schemas.openxmlformats.org/officeDocument/2006/relationships/hyperlink" Target="http://www.normattiva.it/uri-res/N2Ls?urn:nir:stato:decreto.legge:2014-04-24;66" TargetMode="External"/><Relationship Id="rId41" Type="http://schemas.openxmlformats.org/officeDocument/2006/relationships/hyperlink" Target="http://www.normattiva.it/uri-res/N2Ls?urn:nir:stato:legge:2012-08-07;135" TargetMode="External"/><Relationship Id="rId54" Type="http://schemas.openxmlformats.org/officeDocument/2006/relationships/hyperlink" Target="http://www.normattiva.it/uri-res/N2Ls?urn:nir:stato:legge:2009-05-05;42" TargetMode="External"/><Relationship Id="rId62" Type="http://schemas.openxmlformats.org/officeDocument/2006/relationships/hyperlink" Target="http://www.normattiva.it/uri-res/N2Ls?urn:nir:stato:legge:2015-12-28;208" TargetMode="External"/><Relationship Id="rId70" Type="http://schemas.openxmlformats.org/officeDocument/2006/relationships/hyperlink" Target="http://www.normattiva.it/uri-res/N2Ls?urn:nir:stato:decreto.legislativo:2000-08-18;267" TargetMode="External"/><Relationship Id="rId75" Type="http://schemas.openxmlformats.org/officeDocument/2006/relationships/hyperlink" Target="http://www.normattiva.it/uri-res/N2Ls?urn:nir:stato:decreto.legislativo:2005-03-07;82" TargetMode="External"/><Relationship Id="rId83" Type="http://schemas.openxmlformats.org/officeDocument/2006/relationships/hyperlink" Target="http://www.normattiva.it/uri-res/N2Ls?urn:nir:stato:legge:2012-12-24;243" TargetMode="External"/><Relationship Id="rId88" Type="http://schemas.openxmlformats.org/officeDocument/2006/relationships/hyperlink" Target="http://www.normattiva.it/uri-res/N2Ls?urn:nir:stato:decreto.legislativo:2011-06-23;118" TargetMode="External"/><Relationship Id="rId91" Type="http://schemas.openxmlformats.org/officeDocument/2006/relationships/hyperlink" Target="http://www.normattiva.it/uri-res/N2Ls?urn:nir:stato:legge:2012-12-24;243" TargetMode="External"/><Relationship Id="rId96" Type="http://schemas.openxmlformats.org/officeDocument/2006/relationships/hyperlink" Target="http://www.normattiva.it/uri-res/N2Ls?urn:nir:stato:legge:2012-12-24;24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ormattiva.it/uri-res/N2Ls?urn:nir:stato:decreto.legislativo:1999-07-30;300" TargetMode="External"/><Relationship Id="rId23" Type="http://schemas.openxmlformats.org/officeDocument/2006/relationships/hyperlink" Target="http://www.normattiva.it/uri-res/N2Ls?urn:nir:stato:legge:2013-08-09;99" TargetMode="External"/><Relationship Id="rId28" Type="http://schemas.openxmlformats.org/officeDocument/2006/relationships/hyperlink" Target="http://www.normattiva.it/uri-res/N2Ls?urn:nir:stato:decreto.legge:2013-04-08;35" TargetMode="External"/><Relationship Id="rId36" Type="http://schemas.openxmlformats.org/officeDocument/2006/relationships/hyperlink" Target="http://www.normattiva.it/uri-res/N2Ls?urn:nir:stato:legge:2013-08-09;99" TargetMode="External"/><Relationship Id="rId49" Type="http://schemas.openxmlformats.org/officeDocument/2006/relationships/hyperlink" Target="http://www.normattiva.it/uri-res/N2Ls?urn:nir:stato:decreto.legislativo:2010-11-26;216" TargetMode="External"/><Relationship Id="rId57" Type="http://schemas.openxmlformats.org/officeDocument/2006/relationships/hyperlink" Target="http://www.opencivitas.it" TargetMode="External"/><Relationship Id="rId10" Type="http://schemas.openxmlformats.org/officeDocument/2006/relationships/hyperlink" Target="http://www.normattiva.it/uri-res/N2Ls?urn:nir:stato:legge:2015-12-28;208" TargetMode="External"/><Relationship Id="rId31" Type="http://schemas.openxmlformats.org/officeDocument/2006/relationships/hyperlink" Target="http://www.normattiva.it/uri-res/N2Ls?urn:nir:stato:legge:2014-06-23;89" TargetMode="External"/><Relationship Id="rId44" Type="http://schemas.openxmlformats.org/officeDocument/2006/relationships/hyperlink" Target="http://www.normattiva.it/uri-res/N2Ls?urn:nir:stato:legge:2012-12-24;228" TargetMode="External"/><Relationship Id="rId52" Type="http://schemas.openxmlformats.org/officeDocument/2006/relationships/hyperlink" Target="http://www.normattiva.it/uri-res/N2Ls?urn:nir:stato:decreto.legislativo:2005-03-07;82" TargetMode="External"/><Relationship Id="rId60" Type="http://schemas.openxmlformats.org/officeDocument/2006/relationships/hyperlink" Target="http://www.normattiva.it/uri-res/N2Ls?urn:nir:stato:legge:2015-12-28;208" TargetMode="External"/><Relationship Id="rId65" Type="http://schemas.openxmlformats.org/officeDocument/2006/relationships/hyperlink" Target="http://www.normattiva.it/uri-res/N2Ls?urn:nir:stato:decreto.legislativo:2011-06-23;118" TargetMode="External"/><Relationship Id="rId73" Type="http://schemas.openxmlformats.org/officeDocument/2006/relationships/hyperlink" Target="http://www.normattiva.it/uri-res/N2Ls?urn:nir:stato:decreto.legislativo:2011-06-23;118" TargetMode="External"/><Relationship Id="rId78" Type="http://schemas.openxmlformats.org/officeDocument/2006/relationships/hyperlink" Target="http://www.normattiva.it/uri-res/N2Ls?urn:nir:stato:legge:2012-12-24;243" TargetMode="External"/><Relationship Id="rId81" Type="http://schemas.openxmlformats.org/officeDocument/2006/relationships/hyperlink" Target="http://www.normattiva.it/uri-res/N2Ls?urn:nir:stato:decreto.legge:2010-05-31;78" TargetMode="External"/><Relationship Id="rId86" Type="http://schemas.openxmlformats.org/officeDocument/2006/relationships/hyperlink" Target="http://www.normattiva.it/uri-res/N2Ls?urn:nir:stato:legge:2015-12-28;208" TargetMode="External"/><Relationship Id="rId94" Type="http://schemas.openxmlformats.org/officeDocument/2006/relationships/hyperlink" Target="http://www.normattiva.it/uri-res/N2Ls?urn:nir:stato:legge:2012-12-24;243"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normattiva.it/uri-res/N2Ls?urn:nir:presidente.repubblica:decreto:2016-09-09" TargetMode="External"/><Relationship Id="rId18" Type="http://schemas.openxmlformats.org/officeDocument/2006/relationships/hyperlink" Target="http://www.normattiva.it/uri-res/N2Ls?urn:nir:stato:decreto.legge:2014-04-24;66" TargetMode="External"/><Relationship Id="rId39" Type="http://schemas.openxmlformats.org/officeDocument/2006/relationships/hyperlink" Target="http://www.normattiva.it/uri-res/N2Ls?urn:nir:stato:decreto.legislativo:1997-08-28;28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B1A3-B642-4DB5-9A8B-D0061CA1A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24590</Words>
  <Characters>140169</Characters>
  <Application>Microsoft Office Word</Application>
  <DocSecurity>0</DocSecurity>
  <Lines>1168</Lines>
  <Paragraphs>328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Canzoneri</dc:creator>
  <cp:lastModifiedBy>alessandra.garzanti</cp:lastModifiedBy>
  <cp:revision>2</cp:revision>
  <cp:lastPrinted>2016-12-07T12:51:00Z</cp:lastPrinted>
  <dcterms:created xsi:type="dcterms:W3CDTF">2016-12-12T08:59:00Z</dcterms:created>
  <dcterms:modified xsi:type="dcterms:W3CDTF">2016-12-12T08:59:00Z</dcterms:modified>
</cp:coreProperties>
</file>