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AEB" w:rsidRPr="00AA1AEB" w:rsidRDefault="00AA1AEB" w:rsidP="00AA1AEB">
      <w:pPr>
        <w:spacing w:before="0" w:beforeAutospacing="0" w:after="0" w:afterAutospacing="0"/>
        <w:rPr>
          <w:rFonts w:eastAsia="Times New Roman" w:cs="Times New Roman"/>
          <w:sz w:val="24"/>
          <w:szCs w:val="24"/>
          <w:lang w:eastAsia="it-IT"/>
        </w:rPr>
      </w:pPr>
      <w:r w:rsidRPr="00AA1AEB">
        <w:rPr>
          <w:rFonts w:ascii="Arial" w:eastAsia="Times New Roman" w:hAnsi="Arial" w:cs="Arial"/>
          <w:b/>
          <w:bCs/>
          <w:color w:val="000000"/>
          <w:sz w:val="24"/>
          <w:szCs w:val="24"/>
          <w:lang w:eastAsia="it-IT"/>
        </w:rPr>
        <w:t>Notizie  “Politiche e finanziamenti dell’UE”  Bruxelles,  30 maggio - 13 settembre 2016</w:t>
      </w:r>
    </w:p>
    <w:p w:rsidR="00AA1AEB" w:rsidRPr="00AA1AEB" w:rsidRDefault="00AA1AEB" w:rsidP="00AA1AEB">
      <w:pPr>
        <w:spacing w:after="0" w:afterAutospacing="0"/>
        <w:jc w:val="both"/>
        <w:rPr>
          <w:rFonts w:ascii="Arial" w:eastAsia="Times New Roman" w:hAnsi="Arial" w:cs="Arial"/>
          <w:color w:val="000000"/>
          <w:sz w:val="24"/>
          <w:szCs w:val="24"/>
          <w:lang w:eastAsia="it-IT"/>
        </w:rPr>
      </w:pPr>
      <w:r w:rsidRPr="00AA1AEB">
        <w:rPr>
          <w:rFonts w:ascii="Arial" w:eastAsia="Times New Roman" w:hAnsi="Arial" w:cs="Arial"/>
          <w:color w:val="000000"/>
          <w:sz w:val="24"/>
          <w:szCs w:val="24"/>
          <w:lang w:eastAsia="it-IT"/>
        </w:rPr>
        <w:t> </w:t>
      </w:r>
    </w:p>
    <w:tbl>
      <w:tblPr>
        <w:tblW w:w="0" w:type="auto"/>
        <w:tblCellMar>
          <w:left w:w="0" w:type="dxa"/>
          <w:right w:w="0" w:type="dxa"/>
        </w:tblCellMar>
        <w:tblLook w:val="04A0"/>
      </w:tblPr>
      <w:tblGrid>
        <w:gridCol w:w="1697"/>
        <w:gridCol w:w="8157"/>
      </w:tblGrid>
      <w:tr w:rsidR="00AA1AEB" w:rsidRPr="00AA1AEB" w:rsidTr="00AA1AEB">
        <w:trPr>
          <w:trHeight w:val="1133"/>
        </w:trPr>
        <w:tc>
          <w:tcPr>
            <w:tcW w:w="23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AFFARI INTERNI</w:t>
            </w:r>
          </w:p>
        </w:tc>
        <w:tc>
          <w:tcPr>
            <w:tcW w:w="71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Affari interni, nuovi finanziamenti dall’Ue a Italia per attività di ricerca e salvataggio in mare. </w:t>
            </w:r>
            <w:r w:rsidRPr="00AA1AEB">
              <w:rPr>
                <w:rFonts w:ascii="Arial" w:eastAsia="Times New Roman" w:hAnsi="Arial" w:cs="Arial"/>
                <w:sz w:val="24"/>
                <w:szCs w:val="24"/>
                <w:lang w:eastAsia="it-IT"/>
              </w:rPr>
              <w:t>La Commissione europea ha stanziato nel mese di luglio 2,2 milioni di euro di finanziamenti di emergenza per l'Italia nel quadro del Fondo sicurezza interna (ISF) per sostenere le attività di ricerca e salvataggio in mare. In particolare i finanziamenti, destinati alla guardia costiera italiana, sosterranno l'offerta di cibo a bordo ai migranti soccorsi e contribuiranno a finanziare i costi del personale operante sui mezzi navali e nei centri di coordinamento operativi. Inoltre, 1 milione è destinato alla Marina militare italiana a sostegno dell'acquisto di attrezzature e indumenti protettivi che consentano di effettuare in condizioni di sicurezza le visite mediche dei migranti soccorsi. Con queste misure l'assistenza di emergenza totale, erogata dalla Commissione UE dal 2015  a sostegno delle autorità italiane e delle organizzazioni internazionali operanti in Italia, ammonta a 24,5 milioni di euro, che si aggiungono ai 592,6 milioni già erogati all'Italia nel quadro dei programmi nazionali per il 2014-2020 (347,7 milioni dall'AMIF e 244,9 milioni dall'ISF). Comunicato stampa: </w:t>
            </w:r>
            <w:hyperlink r:id="rId4" w:tgtFrame="_blank" w:history="1">
              <w:r w:rsidRPr="00AA1AEB">
                <w:rPr>
                  <w:rFonts w:ascii="Arial" w:eastAsia="Times New Roman" w:hAnsi="Arial" w:cs="Arial"/>
                  <w:color w:val="1155CC"/>
                  <w:sz w:val="24"/>
                  <w:szCs w:val="24"/>
                  <w:u w:val="single"/>
                  <w:lang w:eastAsia="it-IT"/>
                </w:rPr>
                <w:t>https://ec.europa.eu/italy/node/4009_it</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AFFARI INTERNI</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Affari interni, nuovo accordo per la </w:t>
            </w:r>
            <w:proofErr w:type="spellStart"/>
            <w:r w:rsidRPr="00AA1AEB">
              <w:rPr>
                <w:rFonts w:ascii="Arial" w:eastAsia="Times New Roman" w:hAnsi="Arial" w:cs="Arial"/>
                <w:b/>
                <w:bCs/>
                <w:sz w:val="24"/>
                <w:szCs w:val="24"/>
                <w:lang w:eastAsia="it-IT"/>
              </w:rPr>
              <w:t>cybersicurezza</w:t>
            </w:r>
            <w:proofErr w:type="spellEnd"/>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xml:space="preserve">La Commissione ha lanciato un nuovo partenariato pubblico-privato sulla </w:t>
            </w:r>
            <w:proofErr w:type="spellStart"/>
            <w:r w:rsidRPr="00AA1AEB">
              <w:rPr>
                <w:rFonts w:ascii="Arial" w:eastAsia="Times New Roman" w:hAnsi="Arial" w:cs="Arial"/>
                <w:sz w:val="24"/>
                <w:szCs w:val="24"/>
                <w:lang w:eastAsia="it-IT"/>
              </w:rPr>
              <w:t>cybersicurezza</w:t>
            </w:r>
            <w:proofErr w:type="spellEnd"/>
            <w:r w:rsidRPr="00AA1AEB">
              <w:rPr>
                <w:rFonts w:ascii="Arial" w:eastAsia="Times New Roman" w:hAnsi="Arial" w:cs="Arial"/>
                <w:sz w:val="24"/>
                <w:szCs w:val="24"/>
                <w:lang w:eastAsia="it-IT"/>
              </w:rPr>
              <w:t xml:space="preserve"> che dovrebbe generare investimenti per 1,8 miliardi di euro entro il 2020. Il partenariato fa parte di una serie di nuove iniziative finalizzate a dotare l’Europa di strumenti più efficaci contro gli attacchi informatici e a rafforzare la competitività del settore della </w:t>
            </w:r>
            <w:proofErr w:type="spellStart"/>
            <w:r w:rsidRPr="00AA1AEB">
              <w:rPr>
                <w:rFonts w:ascii="Arial" w:eastAsia="Times New Roman" w:hAnsi="Arial" w:cs="Arial"/>
                <w:sz w:val="24"/>
                <w:szCs w:val="24"/>
                <w:lang w:eastAsia="it-IT"/>
              </w:rPr>
              <w:t>cibersicurezza</w:t>
            </w:r>
            <w:proofErr w:type="spellEnd"/>
            <w:r w:rsidRPr="00AA1AEB">
              <w:rPr>
                <w:rFonts w:ascii="Arial" w:eastAsia="Times New Roman" w:hAnsi="Arial" w:cs="Arial"/>
                <w:sz w:val="24"/>
                <w:szCs w:val="24"/>
                <w:lang w:eastAsia="it-IT"/>
              </w:rPr>
              <w:t>. Secondo un </w:t>
            </w:r>
            <w:hyperlink r:id="rId5" w:tgtFrame="_blank" w:history="1">
              <w:r w:rsidRPr="00AA1AEB">
                <w:rPr>
                  <w:rFonts w:ascii="Arial" w:eastAsia="Times New Roman" w:hAnsi="Arial" w:cs="Arial"/>
                  <w:color w:val="1155CC"/>
                  <w:sz w:val="24"/>
                  <w:szCs w:val="24"/>
                  <w:u w:val="single"/>
                  <w:lang w:eastAsia="it-IT"/>
                </w:rPr>
                <w:t>recente sondaggio</w:t>
              </w:r>
            </w:hyperlink>
            <w:r w:rsidRPr="00AA1AEB">
              <w:rPr>
                <w:rFonts w:ascii="Arial" w:eastAsia="Times New Roman" w:hAnsi="Arial" w:cs="Arial"/>
                <w:sz w:val="24"/>
                <w:szCs w:val="24"/>
                <w:lang w:eastAsia="it-IT"/>
              </w:rPr>
              <w:t>, almeno l'80% delle imprese europee ha subito almeno un incidente di sicurezza informatica nel corso dell’ultimo anno, mentre il numero degli incidenti in tutti i comparti industriali a livello mondiale è aumentato del 38% nel 2015. Si tratta di una situazione che danneggia le imprese europee, grandi e piccole, e rischia di minare la fiducia nell’economia digitale.</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AFFARI INTERNI</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Affari interni, misure UE per contrastare la radicalizzazione violenta.</w:t>
            </w:r>
            <w:r w:rsidRPr="00AA1AEB">
              <w:rPr>
                <w:rFonts w:ascii="Arial" w:eastAsia="Times New Roman" w:hAnsi="Arial" w:cs="Arial"/>
                <w:sz w:val="24"/>
                <w:szCs w:val="24"/>
                <w:lang w:eastAsia="it-IT"/>
              </w:rPr>
              <w:t xml:space="preserve"> Il 14 giugno la Commissione europea ha presentato ulteriori misure destinate ad assistere gli Stati membri nella prevenzione e nel contrasto della radicalizzazione che porta al terrorismo. In particolare la proposta della Commissione </w:t>
            </w:r>
            <w:proofErr w:type="spellStart"/>
            <w:r w:rsidRPr="00AA1AEB">
              <w:rPr>
                <w:rFonts w:ascii="Arial" w:eastAsia="Times New Roman" w:hAnsi="Arial" w:cs="Arial"/>
                <w:sz w:val="24"/>
                <w:szCs w:val="24"/>
                <w:lang w:eastAsia="it-IT"/>
              </w:rPr>
              <w:t>definiscesette</w:t>
            </w:r>
            <w:proofErr w:type="spellEnd"/>
            <w:r w:rsidRPr="00AA1AEB">
              <w:rPr>
                <w:rFonts w:ascii="Arial" w:eastAsia="Times New Roman" w:hAnsi="Arial" w:cs="Arial"/>
                <w:sz w:val="24"/>
                <w:szCs w:val="24"/>
                <w:lang w:eastAsia="it-IT"/>
              </w:rPr>
              <w:t xml:space="preserve"> aree specifiche che includono la lotta alla propaganda terroristica online, misure rivolte al problema della radicalizzazione nelle carceri. Le misure prevedono inoltre l’utilizzo dei finanziamenti dal programma </w:t>
            </w:r>
            <w:proofErr w:type="spellStart"/>
            <w:r w:rsidRPr="00AA1AEB">
              <w:rPr>
                <w:rFonts w:ascii="Arial" w:eastAsia="Times New Roman" w:hAnsi="Arial" w:cs="Arial"/>
                <w:sz w:val="24"/>
                <w:szCs w:val="24"/>
                <w:lang w:eastAsia="it-IT"/>
              </w:rPr>
              <w:t>Erasmus+</w:t>
            </w:r>
            <w:proofErr w:type="spellEnd"/>
            <w:r w:rsidRPr="00AA1AEB">
              <w:rPr>
                <w:rFonts w:ascii="Arial" w:eastAsia="Times New Roman" w:hAnsi="Arial" w:cs="Arial"/>
                <w:sz w:val="24"/>
                <w:szCs w:val="24"/>
                <w:lang w:eastAsia="it-IT"/>
              </w:rPr>
              <w:t xml:space="preserve"> per sostenere progetti volti a promuovere l'inclusione sociale, i valori comuni dell’UE e la comprensione interculturale. Comunicato stampa:</w:t>
            </w:r>
          </w:p>
          <w:p w:rsidR="00AA1AEB" w:rsidRPr="00AA1AEB" w:rsidRDefault="00AA1AEB" w:rsidP="00AA1AEB">
            <w:pPr>
              <w:spacing w:after="0" w:afterAutospacing="0"/>
              <w:jc w:val="both"/>
              <w:rPr>
                <w:rFonts w:ascii="Arial" w:eastAsia="Times New Roman" w:hAnsi="Arial" w:cs="Arial"/>
                <w:sz w:val="24"/>
                <w:szCs w:val="24"/>
                <w:lang w:eastAsia="it-IT"/>
              </w:rPr>
            </w:pPr>
            <w:hyperlink r:id="rId6" w:tgtFrame="_blank" w:history="1">
              <w:r w:rsidRPr="00AA1AEB">
                <w:rPr>
                  <w:rFonts w:ascii="Arial" w:eastAsia="Times New Roman" w:hAnsi="Arial" w:cs="Arial"/>
                  <w:color w:val="1155CC"/>
                  <w:sz w:val="24"/>
                  <w:szCs w:val="24"/>
                  <w:u w:val="single"/>
                  <w:lang w:eastAsia="it-IT"/>
                </w:rPr>
                <w:t>http://ec.europa.eu/italy/news/2016/20160614_contrastare_radicalizzazione_violenta_it.htm</w:t>
              </w:r>
            </w:hyperlink>
          </w:p>
          <w:p w:rsidR="00AA1AEB" w:rsidRPr="00AA1AEB" w:rsidRDefault="00AA1AEB" w:rsidP="00AA1AEB">
            <w:pPr>
              <w:shd w:val="clear" w:color="auto" w:fill="FFFFFF"/>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AFFARI INTERNI</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Affari interni, immigrazione: UE propone quadro comune in materia di </w:t>
            </w:r>
            <w:proofErr w:type="spellStart"/>
            <w:r w:rsidRPr="00AA1AEB">
              <w:rPr>
                <w:rFonts w:ascii="Arial" w:eastAsia="Times New Roman" w:hAnsi="Arial" w:cs="Arial"/>
                <w:b/>
                <w:bCs/>
                <w:sz w:val="24"/>
                <w:szCs w:val="24"/>
                <w:lang w:eastAsia="it-IT"/>
              </w:rPr>
              <w:t>reinsediamento</w:t>
            </w:r>
            <w:proofErr w:type="spellEnd"/>
            <w:r w:rsidRPr="00AA1AEB">
              <w:rPr>
                <w:rFonts w:ascii="Arial" w:eastAsia="Times New Roman" w:hAnsi="Arial" w:cs="Arial"/>
                <w:b/>
                <w:bCs/>
                <w:sz w:val="24"/>
                <w:szCs w:val="24"/>
                <w:lang w:eastAsia="it-IT"/>
              </w:rPr>
              <w:t xml:space="preserve"> e piano per l’integrazione. </w:t>
            </w:r>
            <w:r w:rsidRPr="00AA1AEB">
              <w:rPr>
                <w:rFonts w:ascii="Arial" w:eastAsia="Times New Roman" w:hAnsi="Arial" w:cs="Arial"/>
                <w:sz w:val="24"/>
                <w:szCs w:val="24"/>
                <w:lang w:eastAsia="it-IT"/>
              </w:rPr>
              <w:t>La Commissione europea ha proposto</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xml:space="preserve">un quadro per istituire una politica comune europea in materia di </w:t>
            </w:r>
            <w:proofErr w:type="spellStart"/>
            <w:r w:rsidRPr="00AA1AEB">
              <w:rPr>
                <w:rFonts w:ascii="Arial" w:eastAsia="Times New Roman" w:hAnsi="Arial" w:cs="Arial"/>
                <w:sz w:val="24"/>
                <w:szCs w:val="24"/>
                <w:lang w:eastAsia="it-IT"/>
              </w:rPr>
              <w:t>reinsediamento</w:t>
            </w:r>
            <w:proofErr w:type="spellEnd"/>
            <w:r w:rsidRPr="00AA1AEB">
              <w:rPr>
                <w:rFonts w:ascii="Arial" w:eastAsia="Times New Roman" w:hAnsi="Arial" w:cs="Arial"/>
                <w:sz w:val="24"/>
                <w:szCs w:val="24"/>
                <w:lang w:eastAsia="it-IT"/>
              </w:rPr>
              <w:t xml:space="preserve">. Il documento propone una procedura unificata per il </w:t>
            </w:r>
            <w:proofErr w:type="spellStart"/>
            <w:r w:rsidRPr="00AA1AEB">
              <w:rPr>
                <w:rFonts w:ascii="Arial" w:eastAsia="Times New Roman" w:hAnsi="Arial" w:cs="Arial"/>
                <w:sz w:val="24"/>
                <w:szCs w:val="24"/>
                <w:lang w:eastAsia="it-IT"/>
              </w:rPr>
              <w:t>reinsediamento</w:t>
            </w:r>
            <w:proofErr w:type="spellEnd"/>
            <w:r w:rsidRPr="00AA1AEB">
              <w:rPr>
                <w:rFonts w:ascii="Arial" w:eastAsia="Times New Roman" w:hAnsi="Arial" w:cs="Arial"/>
                <w:sz w:val="24"/>
                <w:szCs w:val="24"/>
                <w:lang w:eastAsia="it-IT"/>
              </w:rPr>
              <w:t xml:space="preserve"> nell’UE. Per sostenere gli Stati membri negli sforzi di </w:t>
            </w:r>
            <w:proofErr w:type="spellStart"/>
            <w:r w:rsidRPr="00AA1AEB">
              <w:rPr>
                <w:rFonts w:ascii="Arial" w:eastAsia="Times New Roman" w:hAnsi="Arial" w:cs="Arial"/>
                <w:sz w:val="24"/>
                <w:szCs w:val="24"/>
                <w:lang w:eastAsia="it-IT"/>
              </w:rPr>
              <w:t>reinsediamento</w:t>
            </w:r>
            <w:proofErr w:type="spellEnd"/>
            <w:r w:rsidRPr="00AA1AEB">
              <w:rPr>
                <w:rFonts w:ascii="Arial" w:eastAsia="Times New Roman" w:hAnsi="Arial" w:cs="Arial"/>
                <w:sz w:val="24"/>
                <w:szCs w:val="24"/>
                <w:lang w:eastAsia="it-IT"/>
              </w:rPr>
              <w:t xml:space="preserve"> nel quadro di detti programmi, la Commissione intende destinare 10 000 EUR del bilancio UE per ogni persona </w:t>
            </w:r>
            <w:proofErr w:type="spellStart"/>
            <w:r w:rsidRPr="00AA1AEB">
              <w:rPr>
                <w:rFonts w:ascii="Arial" w:eastAsia="Times New Roman" w:hAnsi="Arial" w:cs="Arial"/>
                <w:sz w:val="24"/>
                <w:szCs w:val="24"/>
                <w:lang w:eastAsia="it-IT"/>
              </w:rPr>
              <w:t>reinsediata</w:t>
            </w:r>
            <w:proofErr w:type="spellEnd"/>
            <w:r w:rsidRPr="00AA1AEB">
              <w:rPr>
                <w:rFonts w:ascii="Arial" w:eastAsia="Times New Roman" w:hAnsi="Arial" w:cs="Arial"/>
                <w:sz w:val="24"/>
                <w:szCs w:val="24"/>
                <w:lang w:eastAsia="it-IT"/>
              </w:rPr>
              <w:t>. I fondi saranno assegnati nell’ambito del </w:t>
            </w:r>
            <w:hyperlink r:id="rId7" w:tgtFrame="_blank" w:history="1">
              <w:r w:rsidRPr="00AA1AEB">
                <w:rPr>
                  <w:rFonts w:ascii="Arial" w:eastAsia="Times New Roman" w:hAnsi="Arial" w:cs="Arial"/>
                  <w:color w:val="1155CC"/>
                  <w:sz w:val="24"/>
                  <w:szCs w:val="24"/>
                  <w:u w:val="single"/>
                  <w:lang w:eastAsia="it-IT"/>
                </w:rPr>
                <w:t>Fondo Asilo, migrazione e integrazione (AMIF)</w:t>
              </w:r>
            </w:hyperlink>
            <w:r w:rsidRPr="00AA1AEB">
              <w:rPr>
                <w:rFonts w:ascii="Arial" w:eastAsia="Times New Roman" w:hAnsi="Arial" w:cs="Arial"/>
                <w:sz w:val="24"/>
                <w:szCs w:val="24"/>
                <w:lang w:eastAsia="it-IT"/>
              </w:rPr>
              <w:t xml:space="preserve"> dell'UE. I </w:t>
            </w:r>
            <w:proofErr w:type="spellStart"/>
            <w:r w:rsidRPr="00AA1AEB">
              <w:rPr>
                <w:rFonts w:ascii="Arial" w:eastAsia="Times New Roman" w:hAnsi="Arial" w:cs="Arial"/>
                <w:sz w:val="24"/>
                <w:szCs w:val="24"/>
                <w:lang w:eastAsia="it-IT"/>
              </w:rPr>
              <w:t>reinsediamenti</w:t>
            </w:r>
            <w:proofErr w:type="spellEnd"/>
            <w:r w:rsidRPr="00AA1AEB">
              <w:rPr>
                <w:rFonts w:ascii="Arial" w:eastAsia="Times New Roman" w:hAnsi="Arial" w:cs="Arial"/>
                <w:sz w:val="24"/>
                <w:szCs w:val="24"/>
                <w:lang w:eastAsia="it-IT"/>
              </w:rPr>
              <w:t xml:space="preserve"> che avverranno al di fuori del quadro di </w:t>
            </w:r>
            <w:proofErr w:type="spellStart"/>
            <w:r w:rsidRPr="00AA1AEB">
              <w:rPr>
                <w:rFonts w:ascii="Arial" w:eastAsia="Times New Roman" w:hAnsi="Arial" w:cs="Arial"/>
                <w:sz w:val="24"/>
                <w:szCs w:val="24"/>
                <w:lang w:eastAsia="it-IT"/>
              </w:rPr>
              <w:t>reinsediamento</w:t>
            </w:r>
            <w:proofErr w:type="spellEnd"/>
            <w:r w:rsidRPr="00AA1AEB">
              <w:rPr>
                <w:rFonts w:ascii="Arial" w:eastAsia="Times New Roman" w:hAnsi="Arial" w:cs="Arial"/>
                <w:sz w:val="24"/>
                <w:szCs w:val="24"/>
                <w:lang w:eastAsia="it-IT"/>
              </w:rPr>
              <w:t xml:space="preserve"> dell’Unione non saranno finanziati dal bilancio dell’UE. Affari interni, piano d’azione dell’UE per sostenere l’integrazione. La Commissione europea ha presentato inoltre un piano d’azione per sostenere gli Stati membri nell’integrazione dei cittadini di paesi terzi e nella valorizzazione del contributo economico e sociale che apportano all'UE.</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Comunicati stampa:</w:t>
            </w:r>
          </w:p>
          <w:p w:rsidR="00AA1AEB" w:rsidRPr="00AA1AEB" w:rsidRDefault="00AA1AEB" w:rsidP="00AA1AEB">
            <w:pPr>
              <w:spacing w:after="0" w:afterAutospacing="0"/>
              <w:jc w:val="both"/>
              <w:rPr>
                <w:rFonts w:ascii="Arial" w:eastAsia="Times New Roman" w:hAnsi="Arial" w:cs="Arial"/>
                <w:sz w:val="24"/>
                <w:szCs w:val="24"/>
                <w:lang w:eastAsia="it-IT"/>
              </w:rPr>
            </w:pPr>
            <w:hyperlink r:id="rId8" w:tgtFrame="_blank" w:history="1">
              <w:r w:rsidRPr="00AA1AEB">
                <w:rPr>
                  <w:rFonts w:ascii="Arial" w:eastAsia="Times New Roman" w:hAnsi="Arial" w:cs="Arial"/>
                  <w:color w:val="1155CC"/>
                  <w:sz w:val="24"/>
                  <w:szCs w:val="24"/>
                  <w:u w:val="single"/>
                  <w:lang w:eastAsia="it-IT"/>
                </w:rPr>
                <w:t>http://ec.europa.eu/italy/news_it</w:t>
              </w:r>
            </w:hyperlink>
          </w:p>
          <w:p w:rsidR="00AA1AEB" w:rsidRPr="00AA1AEB" w:rsidRDefault="00AA1AEB" w:rsidP="00AA1AEB">
            <w:pPr>
              <w:spacing w:after="0" w:afterAutospacing="0"/>
              <w:jc w:val="both"/>
              <w:rPr>
                <w:rFonts w:ascii="Arial" w:eastAsia="Times New Roman" w:hAnsi="Arial" w:cs="Arial"/>
                <w:sz w:val="24"/>
                <w:szCs w:val="24"/>
                <w:lang w:eastAsia="it-IT"/>
              </w:rPr>
            </w:pPr>
            <w:hyperlink r:id="rId9" w:tgtFrame="_blank" w:history="1">
              <w:r w:rsidRPr="00AA1AEB">
                <w:rPr>
                  <w:rFonts w:ascii="Arial" w:eastAsia="Times New Roman" w:hAnsi="Arial" w:cs="Arial"/>
                  <w:color w:val="1155CC"/>
                  <w:sz w:val="24"/>
                  <w:szCs w:val="24"/>
                  <w:u w:val="single"/>
                  <w:lang w:eastAsia="it-IT"/>
                </w:rPr>
                <w:t>https://ec.europa.eu/italy/node/3729_it</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AFFARI INTERNI</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Affari interni, nuove proposte dell’UE in materia di asilo. </w:t>
            </w:r>
            <w:r w:rsidRPr="00AA1AEB">
              <w:rPr>
                <w:rFonts w:ascii="Arial" w:eastAsia="Times New Roman" w:hAnsi="Arial" w:cs="Arial"/>
                <w:sz w:val="24"/>
                <w:szCs w:val="24"/>
                <w:lang w:eastAsia="it-IT"/>
              </w:rPr>
              <w:t>La Commissione europea ha presentato nel mese di luglio delle proposte intese a completare la riforma del sistema europeo comune di asilo al fine di progredire verso una politica in materia di asilo pienamente efficace, equa e umana, che sia adatta sia ai periodi di pressione migratoria normale sia a quelli di forte pressione migratoria. Comunicato stampa: </w:t>
            </w:r>
            <w:hyperlink r:id="rId10" w:tgtFrame="_blank" w:history="1">
              <w:r w:rsidRPr="00AA1AEB">
                <w:rPr>
                  <w:rFonts w:ascii="Arial" w:eastAsia="Times New Roman" w:hAnsi="Arial" w:cs="Arial"/>
                  <w:color w:val="1155CC"/>
                  <w:sz w:val="24"/>
                  <w:szCs w:val="24"/>
                  <w:u w:val="single"/>
                  <w:lang w:eastAsia="it-IT"/>
                </w:rPr>
                <w:t>http://europa.eu/rapid/press-release_IP-16-1620_it.htm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AGRICOLTURA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Agricoltura, pacchetto da 500 milioni dall’UE per riequilibrare il settore lattiero. </w:t>
            </w:r>
            <w:r w:rsidRPr="00AA1AEB">
              <w:rPr>
                <w:rFonts w:ascii="Arial" w:eastAsia="Times New Roman" w:hAnsi="Arial" w:cs="Arial"/>
                <w:sz w:val="24"/>
                <w:szCs w:val="24"/>
                <w:lang w:eastAsia="it-IT"/>
              </w:rPr>
              <w:t>La Commissione europea ha presentato durante l’estate le </w:t>
            </w:r>
            <w:hyperlink r:id="rId11" w:tgtFrame="_blank" w:history="1">
              <w:r w:rsidRPr="00AA1AEB">
                <w:rPr>
                  <w:rFonts w:ascii="Arial" w:eastAsia="Times New Roman" w:hAnsi="Arial" w:cs="Arial"/>
                  <w:color w:val="1155CC"/>
                  <w:sz w:val="24"/>
                  <w:szCs w:val="24"/>
                  <w:u w:val="single"/>
                  <w:lang w:eastAsia="it-IT"/>
                </w:rPr>
                <w:t>misure di sostegno agli agricoltori del valore di 500 milioni di euro</w:t>
              </w:r>
            </w:hyperlink>
            <w:r w:rsidRPr="00AA1AEB">
              <w:rPr>
                <w:rFonts w:ascii="Arial" w:eastAsia="Times New Roman" w:hAnsi="Arial" w:cs="Arial"/>
                <w:sz w:val="24"/>
                <w:szCs w:val="24"/>
                <w:lang w:eastAsia="it-IT"/>
              </w:rPr>
              <w:t>. Gli elementi principali del pacchetto sono: 150 milioni di euro di aiuti finanziari destinati alla riduzione della produzione di latte e 350 milioni di euro di dotazioni nazionali destinate agli Stati membri per sostenere le piccole aziende agricole e gli allevatori impegnati in azioni che contribuiscono alla sopravvivenza delle aziende agricole e alla stabilizzazione del mercato. Comunicato stampa:  </w:t>
            </w:r>
            <w:hyperlink r:id="rId12" w:tgtFrame="_blank" w:history="1">
              <w:r w:rsidRPr="00AA1AEB">
                <w:rPr>
                  <w:rFonts w:ascii="Arial" w:eastAsia="Times New Roman" w:hAnsi="Arial" w:cs="Arial"/>
                  <w:color w:val="1155CC"/>
                  <w:sz w:val="24"/>
                  <w:szCs w:val="24"/>
                  <w:u w:val="single"/>
                  <w:lang w:eastAsia="it-IT"/>
                </w:rPr>
                <w:t>http://ec.europa.eu/agriculture/newsroom/292_en.htm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151515"/>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AMBIENTE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Ambiente, economia circolare: Commissione UE estende i criteri del marchio ecologico </w:t>
            </w:r>
            <w:proofErr w:type="spellStart"/>
            <w:r w:rsidRPr="00AA1AEB">
              <w:rPr>
                <w:rFonts w:ascii="Arial" w:eastAsia="Times New Roman" w:hAnsi="Arial" w:cs="Arial"/>
                <w:b/>
                <w:bCs/>
                <w:sz w:val="24"/>
                <w:szCs w:val="24"/>
                <w:lang w:eastAsia="it-IT"/>
              </w:rPr>
              <w:t>Ecolabel</w:t>
            </w:r>
            <w:proofErr w:type="spellEnd"/>
            <w:r w:rsidRPr="00AA1AEB">
              <w:rPr>
                <w:rFonts w:ascii="Arial" w:eastAsia="Times New Roman" w:hAnsi="Arial" w:cs="Arial"/>
                <w:b/>
                <w:bCs/>
                <w:sz w:val="24"/>
                <w:szCs w:val="24"/>
                <w:lang w:eastAsia="it-IT"/>
              </w:rPr>
              <w:t xml:space="preserve"> a computer, mobili e calzature. </w:t>
            </w:r>
            <w:r w:rsidRPr="00AA1AEB">
              <w:rPr>
                <w:rFonts w:ascii="Arial" w:eastAsia="Times New Roman" w:hAnsi="Arial" w:cs="Arial"/>
                <w:sz w:val="24"/>
                <w:szCs w:val="24"/>
                <w:lang w:eastAsia="it-IT"/>
              </w:rPr>
              <w:t>La Commissione europea ha adottato nel mese di agosto una nuova serie di criteri ecologici nel quadro del </w:t>
            </w:r>
            <w:hyperlink r:id="rId13" w:tgtFrame="_blank" w:history="1">
              <w:r w:rsidRPr="00AA1AEB">
                <w:rPr>
                  <w:rFonts w:ascii="Arial" w:eastAsia="Times New Roman" w:hAnsi="Arial" w:cs="Arial"/>
                  <w:color w:val="1155CC"/>
                  <w:sz w:val="24"/>
                  <w:szCs w:val="24"/>
                  <w:u w:val="single"/>
                  <w:lang w:eastAsia="it-IT"/>
                </w:rPr>
                <w:t>marchio ecologico UE "</w:t>
              </w:r>
              <w:proofErr w:type="spellStart"/>
              <w:r w:rsidRPr="00AA1AEB">
                <w:rPr>
                  <w:rFonts w:ascii="Arial" w:eastAsia="Times New Roman" w:hAnsi="Arial" w:cs="Arial"/>
                  <w:color w:val="1155CC"/>
                  <w:sz w:val="24"/>
                  <w:szCs w:val="24"/>
                  <w:u w:val="single"/>
                  <w:lang w:eastAsia="it-IT"/>
                </w:rPr>
                <w:t>Ecolabel</w:t>
              </w:r>
              <w:proofErr w:type="spellEnd"/>
              <w:r w:rsidRPr="00AA1AEB">
                <w:rPr>
                  <w:rFonts w:ascii="Arial" w:eastAsia="Times New Roman" w:hAnsi="Arial" w:cs="Arial"/>
                  <w:color w:val="1155CC"/>
                  <w:sz w:val="24"/>
                  <w:szCs w:val="24"/>
                  <w:u w:val="single"/>
                  <w:lang w:eastAsia="it-IT"/>
                </w:rPr>
                <w:t>"</w:t>
              </w:r>
            </w:hyperlink>
            <w:r w:rsidRPr="00AA1AEB">
              <w:rPr>
                <w:rFonts w:ascii="Arial" w:eastAsia="Times New Roman" w:hAnsi="Arial" w:cs="Arial"/>
                <w:sz w:val="24"/>
                <w:szCs w:val="24"/>
                <w:lang w:eastAsia="it-IT"/>
              </w:rPr>
              <w:t> , relativi a </w:t>
            </w:r>
            <w:bookmarkStart w:id="0" w:name="m_8881985635795449230_m_3847822102637413"/>
            <w:bookmarkEnd w:id="0"/>
            <w:r w:rsidRPr="00AA1AEB">
              <w:rPr>
                <w:rFonts w:ascii="Arial" w:eastAsia="Times New Roman" w:hAnsi="Arial" w:cs="Arial"/>
                <w:sz w:val="24"/>
                <w:szCs w:val="24"/>
                <w:lang w:eastAsia="it-IT"/>
              </w:rPr>
              <w:fldChar w:fldCharType="begin"/>
            </w:r>
            <w:r w:rsidRPr="00AA1AEB">
              <w:rPr>
                <w:rFonts w:ascii="Arial" w:eastAsia="Times New Roman" w:hAnsi="Arial" w:cs="Arial"/>
                <w:sz w:val="24"/>
                <w:szCs w:val="24"/>
                <w:lang w:eastAsia="it-IT"/>
              </w:rPr>
              <w:instrText xml:space="preserve"> HYPERLINK "http://eur-lex.europa.eu/legal-content/EN/TXT/?uri=CELEX%3A32016D1371" \t "_blank" </w:instrText>
            </w:r>
            <w:r w:rsidRPr="00AA1AEB">
              <w:rPr>
                <w:rFonts w:ascii="Arial" w:eastAsia="Times New Roman" w:hAnsi="Arial" w:cs="Arial"/>
                <w:sz w:val="24"/>
                <w:szCs w:val="24"/>
                <w:lang w:eastAsia="it-IT"/>
              </w:rPr>
              <w:fldChar w:fldCharType="separate"/>
            </w:r>
            <w:r w:rsidRPr="00AA1AEB">
              <w:rPr>
                <w:rFonts w:ascii="Arial" w:eastAsia="Times New Roman" w:hAnsi="Arial" w:cs="Arial"/>
                <w:color w:val="1155CC"/>
                <w:sz w:val="24"/>
                <w:szCs w:val="24"/>
                <w:u w:val="single"/>
                <w:lang w:eastAsia="it-IT"/>
              </w:rPr>
              <w:t>computer</w:t>
            </w:r>
            <w:r w:rsidRPr="00AA1AEB">
              <w:rPr>
                <w:rFonts w:ascii="Arial" w:eastAsia="Times New Roman" w:hAnsi="Arial" w:cs="Arial"/>
                <w:sz w:val="24"/>
                <w:szCs w:val="24"/>
                <w:lang w:eastAsia="it-IT"/>
              </w:rPr>
              <w:fldChar w:fldCharType="end"/>
            </w:r>
            <w:r w:rsidRPr="00AA1AEB">
              <w:rPr>
                <w:rFonts w:ascii="Arial" w:eastAsia="Times New Roman" w:hAnsi="Arial" w:cs="Arial"/>
                <w:sz w:val="24"/>
                <w:szCs w:val="24"/>
                <w:lang w:eastAsia="it-IT"/>
              </w:rPr>
              <w:t xml:space="preserve">  (personal computer, computer portatili e </w:t>
            </w:r>
            <w:proofErr w:type="spellStart"/>
            <w:r w:rsidRPr="00AA1AEB">
              <w:rPr>
                <w:rFonts w:ascii="Arial" w:eastAsia="Times New Roman" w:hAnsi="Arial" w:cs="Arial"/>
                <w:sz w:val="24"/>
                <w:szCs w:val="24"/>
                <w:lang w:eastAsia="it-IT"/>
              </w:rPr>
              <w:t>tablet</w:t>
            </w:r>
            <w:proofErr w:type="spellEnd"/>
            <w:r w:rsidRPr="00AA1AEB">
              <w:rPr>
                <w:rFonts w:ascii="Arial" w:eastAsia="Times New Roman" w:hAnsi="Arial" w:cs="Arial"/>
                <w:sz w:val="24"/>
                <w:szCs w:val="24"/>
                <w:lang w:eastAsia="it-IT"/>
              </w:rPr>
              <w:t>), </w:t>
            </w:r>
            <w:hyperlink r:id="rId14" w:tgtFrame="_blank" w:history="1">
              <w:r w:rsidRPr="00AA1AEB">
                <w:rPr>
                  <w:rFonts w:ascii="Arial" w:eastAsia="Times New Roman" w:hAnsi="Arial" w:cs="Arial"/>
                  <w:color w:val="1155CC"/>
                  <w:sz w:val="24"/>
                  <w:szCs w:val="24"/>
                  <w:u w:val="single"/>
                  <w:lang w:eastAsia="it-IT"/>
                </w:rPr>
                <w:t>mobili</w:t>
              </w:r>
            </w:hyperlink>
            <w:r w:rsidRPr="00AA1AEB">
              <w:rPr>
                <w:rFonts w:ascii="Arial" w:eastAsia="Times New Roman" w:hAnsi="Arial" w:cs="Arial"/>
                <w:sz w:val="24"/>
                <w:szCs w:val="24"/>
                <w:lang w:eastAsia="it-IT"/>
              </w:rPr>
              <w:t> e </w:t>
            </w:r>
            <w:hyperlink r:id="rId15" w:tgtFrame="_blank" w:history="1">
              <w:r w:rsidRPr="00AA1AEB">
                <w:rPr>
                  <w:rFonts w:ascii="Arial" w:eastAsia="Times New Roman" w:hAnsi="Arial" w:cs="Arial"/>
                  <w:color w:val="1155CC"/>
                  <w:sz w:val="24"/>
                  <w:szCs w:val="24"/>
                  <w:u w:val="single"/>
                  <w:lang w:eastAsia="it-IT"/>
                </w:rPr>
                <w:t>calzature</w:t>
              </w:r>
            </w:hyperlink>
            <w:r w:rsidRPr="00AA1AEB">
              <w:rPr>
                <w:rFonts w:ascii="Arial" w:eastAsia="Times New Roman" w:hAnsi="Arial" w:cs="Arial"/>
                <w:sz w:val="24"/>
                <w:szCs w:val="24"/>
                <w:lang w:eastAsia="it-IT"/>
              </w:rPr>
              <w:t xml:space="preserve">. I produttori che desiderano ottenere il marchio </w:t>
            </w:r>
            <w:proofErr w:type="spellStart"/>
            <w:r w:rsidRPr="00AA1AEB">
              <w:rPr>
                <w:rFonts w:ascii="Arial" w:eastAsia="Times New Roman" w:hAnsi="Arial" w:cs="Arial"/>
                <w:sz w:val="24"/>
                <w:szCs w:val="24"/>
                <w:lang w:eastAsia="it-IT"/>
              </w:rPr>
              <w:t>Ecolabel</w:t>
            </w:r>
            <w:proofErr w:type="spellEnd"/>
            <w:r w:rsidRPr="00AA1AEB">
              <w:rPr>
                <w:rFonts w:ascii="Arial" w:eastAsia="Times New Roman" w:hAnsi="Arial" w:cs="Arial"/>
                <w:sz w:val="24"/>
                <w:szCs w:val="24"/>
                <w:lang w:eastAsia="it-IT"/>
              </w:rPr>
              <w:t>  per i propri prodotti sono tenuti a rispettare dei </w:t>
            </w:r>
            <w:hyperlink r:id="rId16" w:tgtFrame="_blank" w:history="1">
              <w:r w:rsidRPr="00AA1AEB">
                <w:rPr>
                  <w:rFonts w:ascii="Arial" w:eastAsia="Times New Roman" w:hAnsi="Arial" w:cs="Arial"/>
                  <w:color w:val="1155CC"/>
                  <w:sz w:val="24"/>
                  <w:szCs w:val="24"/>
                  <w:u w:val="single"/>
                  <w:lang w:eastAsia="it-IT"/>
                </w:rPr>
                <w:t>requisiti</w:t>
              </w:r>
            </w:hyperlink>
            <w:r w:rsidRPr="00AA1AEB">
              <w:rPr>
                <w:rFonts w:ascii="Arial" w:eastAsia="Times New Roman" w:hAnsi="Arial" w:cs="Arial"/>
                <w:sz w:val="24"/>
                <w:szCs w:val="24"/>
                <w:lang w:eastAsia="it-IT"/>
              </w:rPr>
              <w:t xml:space="preserve"> relativi </w:t>
            </w:r>
            <w:r w:rsidRPr="00AA1AEB">
              <w:rPr>
                <w:rFonts w:ascii="Arial" w:eastAsia="Times New Roman" w:hAnsi="Arial" w:cs="Arial"/>
                <w:sz w:val="24"/>
                <w:szCs w:val="24"/>
                <w:lang w:eastAsia="it-IT"/>
              </w:rPr>
              <w:lastRenderedPageBreak/>
              <w:t>alla "prestazione ambientale" del prodotto, ma anche alla sua sicurezza e agli aspetti sociali. Comunicato stampa:</w:t>
            </w:r>
          </w:p>
          <w:p w:rsidR="00AA1AEB" w:rsidRPr="00AA1AEB" w:rsidRDefault="00AA1AEB" w:rsidP="00AA1AEB">
            <w:pPr>
              <w:spacing w:after="0" w:afterAutospacing="0"/>
              <w:jc w:val="both"/>
              <w:rPr>
                <w:rFonts w:ascii="Arial" w:eastAsia="Times New Roman" w:hAnsi="Arial" w:cs="Arial"/>
                <w:sz w:val="24"/>
                <w:szCs w:val="24"/>
                <w:lang w:eastAsia="it-IT"/>
              </w:rPr>
            </w:pPr>
            <w:hyperlink r:id="rId17" w:tgtFrame="_blank" w:history="1">
              <w:r w:rsidRPr="00AA1AEB">
                <w:rPr>
                  <w:rFonts w:ascii="Arial" w:eastAsia="Times New Roman" w:hAnsi="Arial" w:cs="Arial"/>
                  <w:color w:val="1155CC"/>
                  <w:sz w:val="24"/>
                  <w:szCs w:val="24"/>
                  <w:u w:val="single"/>
                  <w:lang w:eastAsia="it-IT"/>
                </w:rPr>
                <w:t>http://ec.europa.eu/environment/pdf/17_08_2016_news_en.pdf</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AMBIENTE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Ambiente, nuovo pacchetto di misure da UE per un'economia a basse emissioni di carbonio. </w:t>
            </w:r>
            <w:r w:rsidRPr="00AA1AEB">
              <w:rPr>
                <w:rFonts w:ascii="Arial" w:eastAsia="Times New Roman" w:hAnsi="Arial" w:cs="Arial"/>
                <w:sz w:val="24"/>
                <w:szCs w:val="24"/>
                <w:lang w:eastAsia="it-IT"/>
              </w:rPr>
              <w:t>La Commissione europea ha presentato nel mese di luglio un pacchetto di misure per accelerare la transizione verso la riduzione delle emissioni di carbonio in Europa in tutti i settori dell'economia. Le proposte stabiliscono dei principi guida per gli Stati membri, affinché possano prepararsi per il futuro e mantenere la competitività dell'UE. Link al testo della comunicazione:</w:t>
            </w:r>
          </w:p>
          <w:p w:rsidR="00AA1AEB" w:rsidRPr="00AA1AEB" w:rsidRDefault="00AA1AEB" w:rsidP="00AA1AEB">
            <w:pPr>
              <w:spacing w:after="0" w:afterAutospacing="0"/>
              <w:jc w:val="both"/>
              <w:rPr>
                <w:rFonts w:ascii="Arial" w:eastAsia="Times New Roman" w:hAnsi="Arial" w:cs="Arial"/>
                <w:sz w:val="24"/>
                <w:szCs w:val="24"/>
                <w:lang w:eastAsia="it-IT"/>
              </w:rPr>
            </w:pPr>
            <w:hyperlink r:id="rId18" w:tgtFrame="_blank" w:history="1">
              <w:r w:rsidRPr="00AA1AEB">
                <w:rPr>
                  <w:rFonts w:ascii="Arial" w:eastAsia="Times New Roman" w:hAnsi="Arial" w:cs="Arial"/>
                  <w:color w:val="1155CC"/>
                  <w:sz w:val="24"/>
                  <w:szCs w:val="24"/>
                  <w:u w:val="single"/>
                  <w:lang w:eastAsia="it-IT"/>
                </w:rPr>
                <w:t>http://ec.europa.eu/transport/themes/strategies/news/doc/2016-07-20-decarbonisation/com(2016)501_en.pdf</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Comunicato stampa:</w:t>
            </w:r>
          </w:p>
          <w:p w:rsidR="00AA1AEB" w:rsidRPr="00AA1AEB" w:rsidRDefault="00AA1AEB" w:rsidP="00AA1AEB">
            <w:pPr>
              <w:spacing w:after="0" w:afterAutospacing="0"/>
              <w:jc w:val="both"/>
              <w:rPr>
                <w:rFonts w:ascii="Arial" w:eastAsia="Times New Roman" w:hAnsi="Arial" w:cs="Arial"/>
                <w:sz w:val="24"/>
                <w:szCs w:val="24"/>
                <w:lang w:eastAsia="it-IT"/>
              </w:rPr>
            </w:pPr>
            <w:hyperlink r:id="rId19" w:tgtFrame="_blank" w:history="1">
              <w:r w:rsidRPr="00AA1AEB">
                <w:rPr>
                  <w:rFonts w:ascii="Arial" w:eastAsia="Times New Roman" w:hAnsi="Arial" w:cs="Arial"/>
                  <w:color w:val="1155CC"/>
                  <w:sz w:val="24"/>
                  <w:szCs w:val="24"/>
                  <w:u w:val="single"/>
                  <w:lang w:eastAsia="it-IT"/>
                </w:rPr>
                <w:t>http://europa.eu/rapid/press-release_IP-16-2545_it.htm</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AMBIENTE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Ambiente, nuovo patto mondiale dei sindaci per il clima e l'energia. </w:t>
            </w:r>
            <w:r w:rsidRPr="00AA1AEB">
              <w:rPr>
                <w:rFonts w:ascii="Arial" w:eastAsia="Times New Roman" w:hAnsi="Arial" w:cs="Arial"/>
                <w:sz w:val="24"/>
                <w:szCs w:val="24"/>
                <w:lang w:eastAsia="it-IT"/>
              </w:rPr>
              <w:t xml:space="preserve">La Commissione Ue europea e il Segretario generale delle Nazioni Unite per le città e i cambiamenti climatici, hanno lanciato a giugno il Patto mondiale dei sindaci per il clima e l'energia. L’iniziativa riunisce le due principali iniziative esistenti attualmente su scala mondiale guidate da città sui cambiamenti climatici: il Patto dei sindaci dell'UE e il Compact </w:t>
            </w:r>
            <w:proofErr w:type="spellStart"/>
            <w:r w:rsidRPr="00AA1AEB">
              <w:rPr>
                <w:rFonts w:ascii="Arial" w:eastAsia="Times New Roman" w:hAnsi="Arial" w:cs="Arial"/>
                <w:sz w:val="24"/>
                <w:szCs w:val="24"/>
                <w:lang w:eastAsia="it-IT"/>
              </w:rPr>
              <w:t>of</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Mayors</w:t>
            </w:r>
            <w:proofErr w:type="spellEnd"/>
            <w:r w:rsidRPr="00AA1AEB">
              <w:rPr>
                <w:rFonts w:ascii="Arial" w:eastAsia="Times New Roman" w:hAnsi="Arial" w:cs="Arial"/>
                <w:sz w:val="24"/>
                <w:szCs w:val="24"/>
                <w:lang w:eastAsia="it-IT"/>
              </w:rPr>
              <w:t xml:space="preserve"> di matrice ONU. L’obiettivo  è creare un’ampia coalizione mondiale con un ruolo guida in materia di clima che preveda il coinvolgimento di oltre 7 100 città di 6 continenti (e 119 paesi diversi), e rappresenti in totale più di 600 milioni di persone. Il lancio è avvenuto dopo il Vertice di Parigi sui cambiamenti climatici in cui le città hanno avuto un ruolo chiave nel chiedere e nel contribuire a redigere un forte accordo mondiale. Per saperne di più</w:t>
            </w:r>
          </w:p>
          <w:p w:rsidR="00AA1AEB" w:rsidRPr="00AA1AEB" w:rsidRDefault="00AA1AEB" w:rsidP="00AA1AEB">
            <w:pPr>
              <w:spacing w:after="0" w:afterAutospacing="0"/>
              <w:jc w:val="both"/>
              <w:rPr>
                <w:rFonts w:ascii="Arial" w:eastAsia="Times New Roman" w:hAnsi="Arial" w:cs="Arial"/>
                <w:sz w:val="24"/>
                <w:szCs w:val="24"/>
                <w:lang w:eastAsia="it-IT"/>
              </w:rPr>
            </w:pPr>
            <w:hyperlink r:id="rId20" w:tgtFrame="_blank" w:history="1">
              <w:r w:rsidRPr="00AA1AEB">
                <w:rPr>
                  <w:rFonts w:ascii="Arial" w:eastAsia="Times New Roman" w:hAnsi="Arial" w:cs="Arial"/>
                  <w:color w:val="1155CC"/>
                  <w:sz w:val="24"/>
                  <w:szCs w:val="24"/>
                  <w:u w:val="single"/>
                  <w:lang w:eastAsia="it-IT"/>
                </w:rPr>
                <w:t>Patto dei sindaci</w:t>
              </w:r>
            </w:hyperlink>
          </w:p>
          <w:p w:rsidR="00AA1AEB" w:rsidRPr="00AA1AEB" w:rsidRDefault="00AA1AEB" w:rsidP="00AA1AEB">
            <w:pPr>
              <w:spacing w:after="0" w:afterAutospacing="0"/>
              <w:jc w:val="both"/>
              <w:rPr>
                <w:rFonts w:ascii="Arial" w:eastAsia="Times New Roman" w:hAnsi="Arial" w:cs="Arial"/>
                <w:sz w:val="24"/>
                <w:szCs w:val="24"/>
                <w:lang w:eastAsia="it-IT"/>
              </w:rPr>
            </w:pPr>
            <w:hyperlink r:id="rId21" w:tgtFrame="_blank" w:history="1">
              <w:r w:rsidRPr="00AA1AEB">
                <w:rPr>
                  <w:rFonts w:ascii="Arial" w:eastAsia="Times New Roman" w:hAnsi="Arial" w:cs="Arial"/>
                  <w:color w:val="1155CC"/>
                  <w:sz w:val="24"/>
                  <w:szCs w:val="24"/>
                  <w:u w:val="single"/>
                  <w:lang w:eastAsia="it-IT"/>
                </w:rPr>
                <w:t xml:space="preserve">Compact </w:t>
              </w:r>
              <w:proofErr w:type="spellStart"/>
              <w:r w:rsidRPr="00AA1AEB">
                <w:rPr>
                  <w:rFonts w:ascii="Arial" w:eastAsia="Times New Roman" w:hAnsi="Arial" w:cs="Arial"/>
                  <w:color w:val="1155CC"/>
                  <w:sz w:val="24"/>
                  <w:szCs w:val="24"/>
                  <w:u w:val="single"/>
                  <w:lang w:eastAsia="it-IT"/>
                </w:rPr>
                <w:t>of</w:t>
              </w:r>
              <w:proofErr w:type="spellEnd"/>
              <w:r w:rsidRPr="00AA1AEB">
                <w:rPr>
                  <w:rFonts w:ascii="Arial" w:eastAsia="Times New Roman" w:hAnsi="Arial" w:cs="Arial"/>
                  <w:color w:val="1155CC"/>
                  <w:sz w:val="24"/>
                  <w:szCs w:val="24"/>
                  <w:u w:val="single"/>
                  <w:lang w:eastAsia="it-IT"/>
                </w:rPr>
                <w:t xml:space="preserve"> </w:t>
              </w:r>
              <w:proofErr w:type="spellStart"/>
              <w:r w:rsidRPr="00AA1AEB">
                <w:rPr>
                  <w:rFonts w:ascii="Arial" w:eastAsia="Times New Roman" w:hAnsi="Arial" w:cs="Arial"/>
                  <w:color w:val="1155CC"/>
                  <w:sz w:val="24"/>
                  <w:szCs w:val="24"/>
                  <w:u w:val="single"/>
                  <w:lang w:eastAsia="it-IT"/>
                </w:rPr>
                <w:t>Mayors</w:t>
              </w:r>
              <w:proofErr w:type="spellEnd"/>
            </w:hyperlink>
          </w:p>
          <w:p w:rsidR="00AA1AEB" w:rsidRPr="00AA1AEB" w:rsidRDefault="00AA1AEB" w:rsidP="00AA1AEB">
            <w:pPr>
              <w:spacing w:after="0" w:afterAutospacing="0"/>
              <w:jc w:val="both"/>
              <w:rPr>
                <w:rFonts w:ascii="Arial" w:eastAsia="Times New Roman" w:hAnsi="Arial" w:cs="Arial"/>
                <w:sz w:val="24"/>
                <w:szCs w:val="24"/>
                <w:lang w:eastAsia="it-IT"/>
              </w:rPr>
            </w:pPr>
            <w:hyperlink r:id="rId22" w:tgtFrame="_blank" w:history="1">
              <w:r w:rsidRPr="00AA1AEB">
                <w:rPr>
                  <w:rFonts w:ascii="Arial" w:eastAsia="Times New Roman" w:hAnsi="Arial" w:cs="Arial"/>
                  <w:color w:val="1155CC"/>
                  <w:sz w:val="24"/>
                  <w:szCs w:val="24"/>
                  <w:u w:val="single"/>
                  <w:lang w:eastAsia="it-IT"/>
                </w:rPr>
                <w:t>Unione dell'energia</w:t>
              </w:r>
            </w:hyperlink>
          </w:p>
          <w:p w:rsidR="00AA1AEB" w:rsidRPr="00AA1AEB" w:rsidRDefault="00AA1AEB" w:rsidP="00AA1AEB">
            <w:pPr>
              <w:shd w:val="clear" w:color="auto" w:fill="FFFFFF"/>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CONCORRENZA</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 </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Concorrenza, dazi antidumping definitivi su prodotti siderurgici cinesi e russi. </w:t>
            </w:r>
            <w:r w:rsidRPr="00AA1AEB">
              <w:rPr>
                <w:rFonts w:ascii="Arial" w:eastAsia="Times New Roman" w:hAnsi="Arial" w:cs="Arial"/>
                <w:sz w:val="24"/>
                <w:szCs w:val="24"/>
                <w:lang w:eastAsia="it-IT"/>
              </w:rPr>
              <w:t xml:space="preserve">L'Unione europea ha istituito un dazio antidumping definitivo su un prodotto siderurgico importato dalla Cina e dalla Russia. Questo dazio resterà in vigore per cinque anni e per la prima volta sarà riscosso anche retroattivamente sulle importazioni registrate nei due mesi precedenti l'istituzione delle misure provvisorie il 12 febbraio </w:t>
            </w:r>
            <w:proofErr w:type="spellStart"/>
            <w:r w:rsidRPr="00AA1AEB">
              <w:rPr>
                <w:rFonts w:ascii="Arial" w:eastAsia="Times New Roman" w:hAnsi="Arial" w:cs="Arial"/>
                <w:sz w:val="24"/>
                <w:szCs w:val="24"/>
                <w:lang w:eastAsia="it-IT"/>
              </w:rPr>
              <w:t>2016.Il</w:t>
            </w:r>
            <w:proofErr w:type="spellEnd"/>
            <w:r w:rsidRPr="00AA1AEB">
              <w:rPr>
                <w:rFonts w:ascii="Arial" w:eastAsia="Times New Roman" w:hAnsi="Arial" w:cs="Arial"/>
                <w:sz w:val="24"/>
                <w:szCs w:val="24"/>
                <w:lang w:eastAsia="it-IT"/>
              </w:rPr>
              <w:t xml:space="preserve"> prodotto in questione è l'acciaio laminato a freddo, un fattore produttivo industriale per l'industria degli imballaggi, degli elettrodomestici, l'industria in generale, il settore automobilistico e delle costruzioni. Alla luce della crisi mondiale di sovraccapacità del settore, la Commissione applica gli </w:t>
            </w:r>
            <w:r w:rsidRPr="00AA1AEB">
              <w:rPr>
                <w:rFonts w:ascii="Arial" w:eastAsia="Times New Roman" w:hAnsi="Arial" w:cs="Arial"/>
                <w:sz w:val="24"/>
                <w:szCs w:val="24"/>
                <w:lang w:eastAsia="it-IT"/>
              </w:rPr>
              <w:lastRenderedPageBreak/>
              <w:t>strumenti di difesa commerciale per ristabilire la parità di condizioni tra i produttori dell'UE e stranieri.  </w:t>
            </w:r>
            <w:hyperlink r:id="rId23" w:tgtFrame="_blank" w:history="1">
              <w:r w:rsidRPr="00AA1AEB">
                <w:rPr>
                  <w:rFonts w:ascii="Arial" w:eastAsia="Times New Roman" w:hAnsi="Arial" w:cs="Arial"/>
                  <w:color w:val="1155CC"/>
                  <w:sz w:val="24"/>
                  <w:szCs w:val="24"/>
                  <w:u w:val="single"/>
                  <w:lang w:eastAsia="it-IT"/>
                </w:rPr>
                <w:t>Testo del regolamento</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CONSUMATORI/</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ALIMENTARE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Consumatori, nuova piattaforma UE per ridurre gli sprechi alimentari . </w:t>
            </w:r>
            <w:r w:rsidRPr="00AA1AEB">
              <w:rPr>
                <w:rFonts w:ascii="Arial" w:eastAsia="Times New Roman" w:hAnsi="Arial" w:cs="Arial"/>
                <w:sz w:val="24"/>
                <w:szCs w:val="24"/>
                <w:lang w:eastAsia="it-IT"/>
              </w:rPr>
              <w:t>La Commissione europea ha recentemente lanciato la piattaforma dell'UE dedicata alla prevenzione degli sprechi alimentari. La piattaforma dell'UE riunisce 70 organizzazioni pubbliche e private con l’obiettivo di dimezzare, entro il 2030, gli sprechi alimentari globali pro capite a livello di vendita al dettaglio e di consumatori e ridurre le perdite alimentari lungo le catene di produzione e approvvigionamento.</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Si stima che ogni sanno nell'UE vadano sprecate circa 88 milioni di tonnellate di cibo. La piattaforma sosterrà tutti i soggetti interessati nel definire le azioni necessarie lungo tutta la catena del valore nel settore alimentare, nel promuovere la cooperazione intersettoriale, nel condividere le migliori pratiche. La prima riunione è prevista il 29 novembre a Bruxelles. Sito ufficiale:</w:t>
            </w:r>
          </w:p>
          <w:p w:rsidR="00AA1AEB" w:rsidRPr="00AA1AEB" w:rsidRDefault="00AA1AEB" w:rsidP="00AA1AEB">
            <w:pPr>
              <w:spacing w:after="0" w:afterAutospacing="0"/>
              <w:jc w:val="both"/>
              <w:rPr>
                <w:rFonts w:ascii="Arial" w:eastAsia="Times New Roman" w:hAnsi="Arial" w:cs="Arial"/>
                <w:sz w:val="24"/>
                <w:szCs w:val="24"/>
                <w:lang w:eastAsia="it-IT"/>
              </w:rPr>
            </w:pPr>
            <w:hyperlink r:id="rId24" w:tgtFrame="_blank" w:history="1">
              <w:r w:rsidRPr="00AA1AEB">
                <w:rPr>
                  <w:rFonts w:ascii="Arial" w:eastAsia="Times New Roman" w:hAnsi="Arial" w:cs="Arial"/>
                  <w:color w:val="1155CC"/>
                  <w:sz w:val="24"/>
                  <w:szCs w:val="24"/>
                  <w:u w:val="single"/>
                  <w:lang w:eastAsia="it-IT"/>
                </w:rPr>
                <w:t>http://ec.europa.eu/food/safety/food_waste/eu_actions/eu-platform/index_en.htm</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COOPERAZIONE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Cooperazione rafforzata con i paesi terzi per una migliore gestione della migrazione. </w:t>
            </w:r>
            <w:r w:rsidRPr="00AA1AEB">
              <w:rPr>
                <w:rFonts w:ascii="Arial" w:eastAsia="Times New Roman" w:hAnsi="Arial" w:cs="Arial"/>
                <w:sz w:val="24"/>
                <w:szCs w:val="24"/>
                <w:lang w:eastAsia="it-IT"/>
              </w:rPr>
              <w:t>La Commissione europea ha annunciato la sua intenzione di creare un nuovo </w:t>
            </w:r>
            <w:r w:rsidRPr="00AA1AEB">
              <w:rPr>
                <w:rFonts w:ascii="Calibri" w:eastAsia="Times New Roman" w:hAnsi="Calibri" w:cs="Arial"/>
                <w:b/>
                <w:bCs/>
                <w:sz w:val="24"/>
                <w:szCs w:val="24"/>
                <w:lang w:eastAsia="it-IT"/>
              </w:rPr>
              <w:t>quadro di partenariato</w:t>
            </w:r>
            <w:r w:rsidRPr="00AA1AEB">
              <w:rPr>
                <w:rFonts w:ascii="Arial" w:eastAsia="Times New Roman" w:hAnsi="Arial" w:cs="Arial"/>
                <w:sz w:val="24"/>
                <w:szCs w:val="24"/>
                <w:lang w:eastAsia="it-IT"/>
              </w:rPr>
              <w:t> orientato ai risultati per mobilitare e orientare l'azione e le risorse dell'UE nell'ambito dell'attività esterna di gestione della migrazione. L'UE cercherà di concludere partenariati "su misura" con i principali paesi terzi di origine e di transito utilizzando tutte le politiche e tutti gli strumenti di cui dispone per ottenere risultati concreti. Le priorità prevedono di salvare vite in mare, aumentare i rimpatri, consentire ai migranti e ai rifugiati di rimanere vicino a casa e, a lungo termine, sostenere lo sviluppo dei paesi terzi per affrontare le cause profonde della migrazione irregolare. I contributi degli Stati membri a questi partenariati, a livello diplomatico, tecnico e finanziario, saranno essenziali per ottenere risultati. A breve termine saranno conclusi patti con la Giordania e il Libano e altri con Niger, Nigeria, Senegal, Mali e Etiopia. Infine sarà rafforzato l'impegno con la Tunisia e la Libia. </w:t>
            </w:r>
            <w:hyperlink r:id="rId25" w:tgtFrame="_blank" w:history="1">
              <w:r w:rsidRPr="00AA1AEB">
                <w:rPr>
                  <w:rFonts w:ascii="Arial" w:eastAsia="Times New Roman" w:hAnsi="Arial" w:cs="Arial"/>
                  <w:color w:val="1155CC"/>
                  <w:sz w:val="24"/>
                  <w:szCs w:val="24"/>
                  <w:u w:val="single"/>
                  <w:lang w:eastAsia="it-IT"/>
                </w:rPr>
                <w:t>Comunicazione sui partenariati per la migrazione</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CULTURA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Cultura, proposta 2018 Anno europeo del patrimonio culturale. </w:t>
            </w:r>
            <w:r w:rsidRPr="00AA1AEB">
              <w:rPr>
                <w:rFonts w:ascii="Arial" w:eastAsia="Times New Roman" w:hAnsi="Arial" w:cs="Arial"/>
                <w:sz w:val="24"/>
                <w:szCs w:val="24"/>
                <w:lang w:eastAsia="it-IT"/>
              </w:rPr>
              <w:t>La Commissione europea ha presentato una proposta al Parlamento europeo e al Consiglio per la designazione del 2018 quale Anno europeo del patrimonio culturale. Il patrimonio culturale europeo, secondo i dati della Commissione UE, riveste un importante ruolo economico, con 300.000 posti di lavoro diretti e 7,8 milioni di posti di lavoro indirettamente collegati al settore in Europa, ad esempio nel turismo, nell'edilizia e in servizi ausiliari quali i trasporti, l'interpretariato, la manutenzione e la sicurezza. Il 2018 sarà un'occasione per mettere in luce l'importanza della cultura europea e ciò che l'UE può fare in materia di salvaguardia, digitalizzazione, infrastrutture, ricerca e sviluppo delle competenze, per citare solo alcuni dei settori sostenuti da programmi di finanziamento dell'UE, come </w:t>
            </w:r>
            <w:hyperlink r:id="rId26" w:tgtFrame="_blank" w:history="1">
              <w:r w:rsidRPr="00AA1AEB">
                <w:rPr>
                  <w:rFonts w:ascii="Arial" w:eastAsia="Times New Roman" w:hAnsi="Arial" w:cs="Arial"/>
                  <w:color w:val="1155CC"/>
                  <w:sz w:val="24"/>
                  <w:szCs w:val="24"/>
                  <w:u w:val="single"/>
                  <w:lang w:eastAsia="it-IT"/>
                </w:rPr>
                <w:t>Europa creativa</w:t>
              </w:r>
            </w:hyperlink>
            <w:r w:rsidRPr="00AA1AEB">
              <w:rPr>
                <w:rFonts w:ascii="Arial" w:eastAsia="Times New Roman" w:hAnsi="Arial" w:cs="Arial"/>
                <w:sz w:val="24"/>
                <w:szCs w:val="24"/>
                <w:lang w:eastAsia="it-IT"/>
              </w:rPr>
              <w:t xml:space="preserve">. In tutta Europa saranno organizzati eventi e attività informative, didattiche e di sensibilizzazione. In linea con la </w:t>
            </w:r>
            <w:r w:rsidRPr="00AA1AEB">
              <w:rPr>
                <w:rFonts w:ascii="Arial" w:eastAsia="Times New Roman" w:hAnsi="Arial" w:cs="Arial"/>
                <w:sz w:val="24"/>
                <w:szCs w:val="24"/>
                <w:lang w:eastAsia="it-IT"/>
              </w:rPr>
              <w:lastRenderedPageBreak/>
              <w:t>recente comunicazione congiunta "</w:t>
            </w:r>
            <w:hyperlink r:id="rId27" w:tgtFrame="_blank" w:history="1">
              <w:r w:rsidRPr="00AA1AEB">
                <w:rPr>
                  <w:rFonts w:ascii="Arial" w:eastAsia="Times New Roman" w:hAnsi="Arial" w:cs="Arial"/>
                  <w:color w:val="1155CC"/>
                  <w:sz w:val="24"/>
                  <w:szCs w:val="24"/>
                  <w:u w:val="single"/>
                  <w:lang w:eastAsia="it-IT"/>
                </w:rPr>
                <w:t>Verso una strategia dell'Unione europea per le relazioni culturali internazionali</w:t>
              </w:r>
            </w:hyperlink>
            <w:r w:rsidRPr="00AA1AEB">
              <w:rPr>
                <w:rFonts w:ascii="Arial" w:eastAsia="Times New Roman" w:hAnsi="Arial" w:cs="Arial"/>
                <w:sz w:val="24"/>
                <w:szCs w:val="24"/>
                <w:lang w:eastAsia="it-IT"/>
              </w:rPr>
              <w:t>", l'iniziativa promuoverà la salvaguardia del patrimonio culturale quale elemento essenziale delle politiche esterne dell'UE, cercando le modalità per far fronte alla distruzione illecita del patrimonio culturale nelle zone di conflitto e al traffico illegale di beni culturali. Comunicato stampa:</w:t>
            </w:r>
            <w:hyperlink r:id="rId28" w:tgtFrame="_blank" w:history="1">
              <w:r w:rsidRPr="00AA1AEB">
                <w:rPr>
                  <w:rFonts w:ascii="Arial" w:eastAsia="Times New Roman" w:hAnsi="Arial" w:cs="Arial"/>
                  <w:color w:val="1155CC"/>
                  <w:sz w:val="24"/>
                  <w:szCs w:val="24"/>
                  <w:u w:val="single"/>
                  <w:lang w:eastAsia="it-IT"/>
                </w:rPr>
                <w:t>https://ec.europa.eu/italy/News/2018_patrimonio_culturale_it</w:t>
              </w:r>
            </w:hyperlink>
          </w:p>
          <w:p w:rsidR="00AA1AEB" w:rsidRPr="00AA1AEB" w:rsidRDefault="00AA1AEB" w:rsidP="00AA1AEB">
            <w:pPr>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CULTURA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Cultura, Festival del cinema di Venezia: in concorso 4 film finanziati dall'</w:t>
            </w:r>
            <w:proofErr w:type="spellStart"/>
            <w:r w:rsidRPr="00AA1AEB">
              <w:rPr>
                <w:rFonts w:ascii="Arial" w:eastAsia="Times New Roman" w:hAnsi="Arial" w:cs="Arial"/>
                <w:b/>
                <w:bCs/>
                <w:sz w:val="24"/>
                <w:szCs w:val="24"/>
                <w:lang w:eastAsia="it-IT"/>
              </w:rPr>
              <w:t>UE.</w:t>
            </w:r>
            <w:r w:rsidRPr="00AA1AEB">
              <w:rPr>
                <w:rFonts w:ascii="Arial" w:eastAsia="Times New Roman" w:hAnsi="Arial" w:cs="Arial"/>
                <w:sz w:val="24"/>
                <w:szCs w:val="24"/>
                <w:lang w:eastAsia="it-IT"/>
              </w:rPr>
              <w:t>Quattro</w:t>
            </w:r>
            <w:proofErr w:type="spellEnd"/>
            <w:r w:rsidRPr="00AA1AEB">
              <w:rPr>
                <w:rFonts w:ascii="Arial" w:eastAsia="Times New Roman" w:hAnsi="Arial" w:cs="Arial"/>
                <w:sz w:val="24"/>
                <w:szCs w:val="24"/>
                <w:lang w:eastAsia="it-IT"/>
              </w:rPr>
              <w:t xml:space="preserve"> film in gara alla 73a edizione della Mostra internazionale d'arte cinematografica di Venezia sono stati sostenuti dal </w:t>
            </w:r>
            <w:hyperlink r:id="rId29" w:tgtFrame="_blank" w:history="1">
              <w:r w:rsidRPr="00AA1AEB">
                <w:rPr>
                  <w:rFonts w:ascii="Arial" w:eastAsia="Times New Roman" w:hAnsi="Arial" w:cs="Arial"/>
                  <w:color w:val="1155CC"/>
                  <w:sz w:val="24"/>
                  <w:szCs w:val="24"/>
                  <w:u w:val="single"/>
                  <w:lang w:eastAsia="it-IT"/>
                </w:rPr>
                <w:t>programma MEDIA di Europa creativa</w:t>
              </w:r>
            </w:hyperlink>
            <w:r w:rsidRPr="00AA1AEB">
              <w:rPr>
                <w:rFonts w:ascii="Arial" w:eastAsia="Times New Roman" w:hAnsi="Arial" w:cs="Arial"/>
                <w:sz w:val="24"/>
                <w:szCs w:val="24"/>
                <w:lang w:eastAsia="it-IT"/>
              </w:rPr>
              <w:t> con circa 160 000 euro tra cui </w:t>
            </w:r>
            <w:hyperlink r:id="rId30" w:tgtFrame="_blank" w:history="1">
              <w:r w:rsidRPr="00AA1AEB">
                <w:rPr>
                  <w:rFonts w:ascii="Arial" w:eastAsia="Times New Roman" w:hAnsi="Arial" w:cs="Arial"/>
                  <w:i/>
                  <w:iCs/>
                  <w:color w:val="1155CC"/>
                  <w:sz w:val="24"/>
                  <w:szCs w:val="24"/>
                  <w:u w:val="single"/>
                  <w:lang w:eastAsia="it-IT"/>
                </w:rPr>
                <w:t>Les Beaux Jours d'Aranjuez</w:t>
              </w:r>
            </w:hyperlink>
            <w:r w:rsidRPr="00AA1AEB">
              <w:rPr>
                <w:rFonts w:ascii="Arial" w:eastAsia="Times New Roman" w:hAnsi="Arial" w:cs="Arial"/>
                <w:sz w:val="24"/>
                <w:szCs w:val="24"/>
                <w:lang w:eastAsia="it-IT"/>
              </w:rPr>
              <w:t> di Wim Wenders e </w:t>
            </w:r>
            <w:hyperlink r:id="rId31" w:tgtFrame="_blank" w:history="1">
              <w:r w:rsidRPr="00AA1AEB">
                <w:rPr>
                  <w:rFonts w:ascii="Arial" w:eastAsia="Times New Roman" w:hAnsi="Arial" w:cs="Arial"/>
                  <w:i/>
                  <w:iCs/>
                  <w:color w:val="1155CC"/>
                  <w:sz w:val="24"/>
                  <w:szCs w:val="24"/>
                  <w:u w:val="single"/>
                  <w:lang w:eastAsia="it-IT"/>
                </w:rPr>
                <w:t>King of the Belgians</w:t>
              </w:r>
            </w:hyperlink>
            <w:r w:rsidRPr="00AA1AEB">
              <w:rPr>
                <w:rFonts w:ascii="Arial" w:eastAsia="Times New Roman" w:hAnsi="Arial" w:cs="Arial"/>
                <w:sz w:val="24"/>
                <w:szCs w:val="24"/>
                <w:lang w:eastAsia="it-IT"/>
              </w:rPr>
              <w:t xml:space="preserve"> di Jessica </w:t>
            </w:r>
            <w:proofErr w:type="spellStart"/>
            <w:r w:rsidRPr="00AA1AEB">
              <w:rPr>
                <w:rFonts w:ascii="Arial" w:eastAsia="Times New Roman" w:hAnsi="Arial" w:cs="Arial"/>
                <w:sz w:val="24"/>
                <w:szCs w:val="24"/>
                <w:lang w:eastAsia="it-IT"/>
              </w:rPr>
              <w:t>Woodworth</w:t>
            </w:r>
            <w:proofErr w:type="spellEnd"/>
            <w:r w:rsidRPr="00AA1AEB">
              <w:rPr>
                <w:rFonts w:ascii="Arial" w:eastAsia="Times New Roman" w:hAnsi="Arial" w:cs="Arial"/>
                <w:sz w:val="24"/>
                <w:szCs w:val="24"/>
                <w:lang w:eastAsia="it-IT"/>
              </w:rPr>
              <w:t xml:space="preserve"> e Peter </w:t>
            </w:r>
            <w:proofErr w:type="spellStart"/>
            <w:r w:rsidRPr="00AA1AEB">
              <w:rPr>
                <w:rFonts w:ascii="Arial" w:eastAsia="Times New Roman" w:hAnsi="Arial" w:cs="Arial"/>
                <w:sz w:val="24"/>
                <w:szCs w:val="24"/>
                <w:lang w:eastAsia="it-IT"/>
              </w:rPr>
              <w:t>Brosens</w:t>
            </w:r>
            <w:proofErr w:type="spellEnd"/>
            <w:r w:rsidRPr="00AA1AEB">
              <w:rPr>
                <w:rFonts w:ascii="Arial" w:eastAsia="Times New Roman" w:hAnsi="Arial" w:cs="Arial"/>
                <w:sz w:val="24"/>
                <w:szCs w:val="24"/>
                <w:lang w:eastAsia="it-IT"/>
              </w:rPr>
              <w:t xml:space="preserve">. Alla mostra ha partecipato il Commissario responsabile per l'Economia e la società digitali, </w:t>
            </w:r>
            <w:proofErr w:type="spellStart"/>
            <w:r w:rsidRPr="00AA1AEB">
              <w:rPr>
                <w:rFonts w:ascii="Arial" w:eastAsia="Times New Roman" w:hAnsi="Arial" w:cs="Arial"/>
                <w:sz w:val="24"/>
                <w:szCs w:val="24"/>
                <w:lang w:eastAsia="it-IT"/>
              </w:rPr>
              <w:t>Günther</w:t>
            </w:r>
            <w:proofErr w:type="spellEnd"/>
            <w:r w:rsidRPr="00AA1AEB">
              <w:rPr>
                <w:rFonts w:ascii="Arial" w:eastAsia="Times New Roman" w:hAnsi="Arial" w:cs="Arial"/>
                <w:sz w:val="24"/>
                <w:szCs w:val="24"/>
                <w:lang w:eastAsia="it-IT"/>
              </w:rPr>
              <w:t xml:space="preserve"> H. </w:t>
            </w:r>
            <w:proofErr w:type="spellStart"/>
            <w:r w:rsidRPr="00AA1AEB">
              <w:rPr>
                <w:rFonts w:ascii="Arial" w:eastAsia="Times New Roman" w:hAnsi="Arial" w:cs="Arial"/>
                <w:b/>
                <w:bCs/>
                <w:sz w:val="24"/>
                <w:szCs w:val="24"/>
                <w:lang w:eastAsia="it-IT"/>
              </w:rPr>
              <w:t>Oettinger</w:t>
            </w:r>
            <w:proofErr w:type="spellEnd"/>
            <w:r w:rsidRPr="00AA1AEB">
              <w:rPr>
                <w:rFonts w:ascii="Arial" w:eastAsia="Times New Roman" w:hAnsi="Arial" w:cs="Arial"/>
                <w:sz w:val="24"/>
                <w:szCs w:val="24"/>
                <w:lang w:eastAsia="it-IT"/>
              </w:rPr>
              <w:t>, che ha incontrato i rappresentanti del settore cinematografico per discutere le azioni dell'UE finalizzate a promuovere la circolazione dei film europei e le proposte che interessano il settore audiovisivo nel quadro della strategia del Mercato unico digitale. In particolare ha sottolineato l’importanza dello </w:t>
            </w:r>
            <w:hyperlink r:id="rId32" w:tgtFrame="_blank" w:history="1">
              <w:r w:rsidRPr="00AA1AEB">
                <w:rPr>
                  <w:rFonts w:ascii="Arial" w:eastAsia="Times New Roman" w:hAnsi="Arial" w:cs="Arial"/>
                  <w:color w:val="1155CC"/>
                  <w:sz w:val="24"/>
                  <w:szCs w:val="24"/>
                  <w:u w:val="single"/>
                  <w:lang w:eastAsia="it-IT"/>
                </w:rPr>
                <w:t>strumento di garanzia dell’UE per i settori culturali e creativi</w:t>
              </w:r>
            </w:hyperlink>
            <w:r w:rsidRPr="00AA1AEB">
              <w:rPr>
                <w:rFonts w:ascii="Arial" w:eastAsia="Times New Roman" w:hAnsi="Arial" w:cs="Arial"/>
                <w:sz w:val="24"/>
                <w:szCs w:val="24"/>
                <w:lang w:eastAsia="it-IT"/>
              </w:rPr>
              <w:t>attivato da poco volto a facilitare l’ accesso ai finanziamenti degli attori che operano in questi ambiti. Comunicato stampa: </w:t>
            </w:r>
            <w:hyperlink r:id="rId33" w:tgtFrame="_blank" w:history="1">
              <w:r w:rsidRPr="00AA1AEB">
                <w:rPr>
                  <w:rFonts w:ascii="Arial" w:eastAsia="Times New Roman" w:hAnsi="Arial" w:cs="Arial"/>
                  <w:color w:val="1155CC"/>
                  <w:sz w:val="24"/>
                  <w:szCs w:val="24"/>
                  <w:u w:val="single"/>
                  <w:lang w:eastAsia="it-IT"/>
                </w:rPr>
                <w:t>http://europa.eu/rapid/midday-express-31-08-2016.htm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CULTURA / IMPRESE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Cultura, </w:t>
            </w:r>
            <w:proofErr w:type="spellStart"/>
            <w:r w:rsidRPr="00AA1AEB">
              <w:rPr>
                <w:rFonts w:ascii="Arial" w:eastAsia="Times New Roman" w:hAnsi="Arial" w:cs="Arial"/>
                <w:b/>
                <w:bCs/>
                <w:sz w:val="24"/>
                <w:szCs w:val="24"/>
                <w:lang w:eastAsia="it-IT"/>
              </w:rPr>
              <w:t>Us</w:t>
            </w:r>
            <w:proofErr w:type="spellEnd"/>
            <w:r w:rsidRPr="00AA1AEB">
              <w:rPr>
                <w:rFonts w:ascii="Arial" w:eastAsia="Times New Roman" w:hAnsi="Arial" w:cs="Arial"/>
                <w:b/>
                <w:bCs/>
                <w:sz w:val="24"/>
                <w:szCs w:val="24"/>
                <w:lang w:eastAsia="it-IT"/>
              </w:rPr>
              <w:t xml:space="preserve"> sostiene PMI nei settori culturali e creativi. </w:t>
            </w:r>
            <w:r w:rsidRPr="00AA1AEB">
              <w:rPr>
                <w:rFonts w:ascii="Arial" w:eastAsia="Times New Roman" w:hAnsi="Arial" w:cs="Arial"/>
                <w:sz w:val="24"/>
                <w:szCs w:val="24"/>
                <w:lang w:eastAsia="it-IT"/>
              </w:rPr>
              <w:t>La Commissione europea e il Fondo europeo per gli investimenti (FEI) hanno recentemente varato un sistema di garanzia di 121 milioni di euro per sostenere le PMI nei settori culturali e creativi attraverso gli istituti finanziari. Il sistema dovrebbe generare prestiti bancari per un valore di oltre 600 milioni di euro nei prossimi sei anni. L'iniziativa permette al FEI di fornire gratuitamente garanzie e controgaranzie a intermediari finanziari selezionati, in modo che questi possano concedere maggiori finanziamenti attraverso il credito a imprenditori dei settori culturali e creativi. Le banche commerciali e al dettaglio, le banche di promozione e altri intermediari finanziari che beneficeranno della garanzia di 121 milioni di euro finanzieranno più di 10.000 PMI in un'ampia gamma di settori quali audiovisivo (film, televisione, animazione, videogiochi e multimedia), festival, musica, letteratura, architettura, archivi, biblioteche e musei, artigianato artistico, patrimonio culturale, design, arti dello spettacolo, editoria, radio e arti visive. Lo strumento finanziario, istituito nell'ambito di </w:t>
            </w:r>
            <w:hyperlink r:id="rId34" w:tgtFrame="_blank" w:history="1">
              <w:r w:rsidRPr="00AA1AEB">
                <w:rPr>
                  <w:rFonts w:ascii="Arial" w:eastAsia="Times New Roman" w:hAnsi="Arial" w:cs="Arial"/>
                  <w:color w:val="1155CC"/>
                  <w:sz w:val="24"/>
                  <w:szCs w:val="24"/>
                  <w:u w:val="single"/>
                  <w:lang w:eastAsia="it-IT"/>
                </w:rPr>
                <w:t>Europa creativa</w:t>
              </w:r>
            </w:hyperlink>
            <w:r w:rsidRPr="00AA1AEB">
              <w:rPr>
                <w:rFonts w:ascii="Arial" w:eastAsia="Times New Roman" w:hAnsi="Arial" w:cs="Arial"/>
                <w:sz w:val="24"/>
                <w:szCs w:val="24"/>
                <w:lang w:eastAsia="it-IT"/>
              </w:rPr>
              <w:t> (il principale programma dell'UE per i settori culturali e creativi) sarà gestito dal FEI per conto della Commissione europea. Le PMI europee dovrebbero poterne beneficiare già entro la fine dell'anno.</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Per saperne di più</w:t>
            </w:r>
          </w:p>
          <w:p w:rsidR="00AA1AEB" w:rsidRPr="00AA1AEB" w:rsidRDefault="00AA1AEB" w:rsidP="00AA1AEB">
            <w:pPr>
              <w:spacing w:after="0" w:afterAutospacing="0"/>
              <w:jc w:val="both"/>
              <w:rPr>
                <w:rFonts w:ascii="Arial" w:eastAsia="Times New Roman" w:hAnsi="Arial" w:cs="Arial"/>
                <w:sz w:val="24"/>
                <w:szCs w:val="24"/>
                <w:lang w:eastAsia="it-IT"/>
              </w:rPr>
            </w:pPr>
            <w:hyperlink r:id="rId35" w:tgtFrame="_blank" w:history="1">
              <w:r w:rsidRPr="00AA1AEB">
                <w:rPr>
                  <w:rFonts w:ascii="Arial" w:eastAsia="Times New Roman" w:hAnsi="Arial" w:cs="Arial"/>
                  <w:color w:val="1155CC"/>
                  <w:sz w:val="24"/>
                  <w:szCs w:val="24"/>
                  <w:u w:val="single"/>
                  <w:lang w:eastAsia="it-IT"/>
                </w:rPr>
                <w:t>Domande e risposte</w:t>
              </w:r>
            </w:hyperlink>
          </w:p>
          <w:p w:rsidR="00AA1AEB" w:rsidRPr="00AA1AEB" w:rsidRDefault="00AA1AEB" w:rsidP="00AA1AEB">
            <w:pPr>
              <w:spacing w:after="0" w:afterAutospacing="0"/>
              <w:jc w:val="both"/>
              <w:rPr>
                <w:rFonts w:ascii="Arial" w:eastAsia="Times New Roman" w:hAnsi="Arial" w:cs="Arial"/>
                <w:sz w:val="24"/>
                <w:szCs w:val="24"/>
                <w:lang w:eastAsia="it-IT"/>
              </w:rPr>
            </w:pPr>
            <w:hyperlink r:id="rId36" w:tgtFrame="_blank" w:history="1">
              <w:r w:rsidRPr="00AA1AEB">
                <w:rPr>
                  <w:rFonts w:ascii="Arial" w:eastAsia="Times New Roman" w:hAnsi="Arial" w:cs="Arial"/>
                  <w:color w:val="1155CC"/>
                  <w:sz w:val="24"/>
                  <w:szCs w:val="24"/>
                  <w:u w:val="single"/>
                  <w:lang w:eastAsia="it-IT"/>
                </w:rPr>
                <w:t>Comunicato stampa</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lastRenderedPageBreak/>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CULTURA /COOPERAZIONE</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 </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Cultura, nuova strategia dall’UE per la cooperazione culturale con i paesi terzi. </w:t>
            </w:r>
            <w:r w:rsidRPr="00AA1AEB">
              <w:rPr>
                <w:rFonts w:ascii="Arial" w:eastAsia="Times New Roman" w:hAnsi="Arial" w:cs="Arial"/>
                <w:sz w:val="24"/>
                <w:szCs w:val="24"/>
                <w:lang w:eastAsia="it-IT"/>
              </w:rPr>
              <w:t>La Commissione europea ha recentemente adottato la </w:t>
            </w:r>
            <w:r w:rsidRPr="00AA1AEB">
              <w:rPr>
                <w:rFonts w:ascii="Arial" w:eastAsia="Times New Roman" w:hAnsi="Arial" w:cs="Arial"/>
                <w:i/>
                <w:iCs/>
                <w:sz w:val="24"/>
                <w:szCs w:val="24"/>
                <w:lang w:eastAsia="it-IT"/>
              </w:rPr>
              <w:t>"Strategia per le relazioni culturali internazionali"</w:t>
            </w:r>
            <w:r w:rsidRPr="00AA1AEB">
              <w:rPr>
                <w:rFonts w:ascii="Arial" w:eastAsia="Times New Roman" w:hAnsi="Arial" w:cs="Arial"/>
                <w:sz w:val="24"/>
                <w:szCs w:val="24"/>
                <w:lang w:eastAsia="it-IT"/>
              </w:rPr>
              <w:t xml:space="preserve">, volta a incoraggiare la cooperazione culturale tra l'UE e i suoi paesi partner. Il documento propone un quadro per approfondire le relazioni culturali internazionali, un nuovo modello di cooperazione con gli Stati membri, gli istituti nazionali di cultura, gli operatori pubblici e privati nell'UE e nei suoi paesi partner, creando opportunità, sinergie e ottimizzando i vantaggi socioeconomici. La cultura, secondo la Commissione, rappresenta infatti un volano di crescita economica grazie anche alle industrie culturali e creative, alle PMI e al turismo. In particolare viene sottolineato il ruolo importante dei comuni in questo ambito.  Nel settore delle industrie culturali e creative l'UE ha già finanziato numerosi progetti quali le reti di poli creativi o il programma ACP </w:t>
            </w:r>
            <w:proofErr w:type="spellStart"/>
            <w:r w:rsidRPr="00AA1AEB">
              <w:rPr>
                <w:rFonts w:ascii="Arial" w:eastAsia="Times New Roman" w:hAnsi="Arial" w:cs="Arial"/>
                <w:sz w:val="24"/>
                <w:szCs w:val="24"/>
                <w:lang w:eastAsia="it-IT"/>
              </w:rPr>
              <w:t>Cultures+</w:t>
            </w:r>
            <w:proofErr w:type="spellEnd"/>
            <w:r w:rsidRPr="00AA1AEB">
              <w:rPr>
                <w:rFonts w:ascii="Arial" w:eastAsia="Times New Roman" w:hAnsi="Arial" w:cs="Arial"/>
                <w:sz w:val="24"/>
                <w:szCs w:val="24"/>
                <w:lang w:eastAsia="it-IT"/>
              </w:rPr>
              <w:t xml:space="preserve"> (paesi dell'Africa, dei Caraibi e del Pacifico) e i programmi volti a sostenere la </w:t>
            </w:r>
            <w:proofErr w:type="spellStart"/>
            <w:r w:rsidRPr="00AA1AEB">
              <w:rPr>
                <w:rFonts w:ascii="Arial" w:eastAsia="Times New Roman" w:hAnsi="Arial" w:cs="Arial"/>
                <w:sz w:val="24"/>
                <w:szCs w:val="24"/>
                <w:lang w:eastAsia="it-IT"/>
              </w:rPr>
              <w:t>governance</w:t>
            </w:r>
            <w:proofErr w:type="spellEnd"/>
            <w:r w:rsidRPr="00AA1AEB">
              <w:rPr>
                <w:rFonts w:ascii="Arial" w:eastAsia="Times New Roman" w:hAnsi="Arial" w:cs="Arial"/>
                <w:sz w:val="24"/>
                <w:szCs w:val="24"/>
                <w:lang w:eastAsia="it-IT"/>
              </w:rPr>
              <w:t xml:space="preserve"> culturale e a promuovere il dialogo interculturale, il programma Europa creativa. Infine si ricorda che il  programma </w:t>
            </w:r>
            <w:proofErr w:type="spellStart"/>
            <w:r w:rsidRPr="00AA1AEB">
              <w:rPr>
                <w:rFonts w:ascii="Arial" w:eastAsia="Times New Roman" w:hAnsi="Arial" w:cs="Arial"/>
                <w:sz w:val="24"/>
                <w:szCs w:val="24"/>
                <w:lang w:eastAsia="it-IT"/>
              </w:rPr>
              <w:t>Horizon</w:t>
            </w:r>
            <w:proofErr w:type="spellEnd"/>
            <w:r w:rsidRPr="00AA1AEB">
              <w:rPr>
                <w:rFonts w:ascii="Arial" w:eastAsia="Times New Roman" w:hAnsi="Arial" w:cs="Arial"/>
                <w:sz w:val="24"/>
                <w:szCs w:val="24"/>
                <w:lang w:eastAsia="it-IT"/>
              </w:rPr>
              <w:t xml:space="preserve"> 2020 sostiene progetti multinazionali e interdisciplinari di ricerca sulla diplomazia culturale e sul patrimonio culturale. Per sostenere i paesi partner nelle diverse regioni sono in preparazione per il futuro altri programmi volti a promuovere le industrie culturali e creative e il dialogo interculturale. La Commissione proporrà al Parlamento europeo e al Consiglio dell'UE di organizzare un Anno europeo del patrimonio culturale nel 2018.</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Link: </w:t>
            </w:r>
            <w:hyperlink r:id="rId37" w:tgtFrame="_blank" w:history="1">
              <w:r w:rsidRPr="00AA1AEB">
                <w:rPr>
                  <w:rFonts w:ascii="Arial" w:eastAsia="Times New Roman" w:hAnsi="Arial" w:cs="Arial"/>
                  <w:color w:val="1155CC"/>
                  <w:sz w:val="24"/>
                  <w:szCs w:val="24"/>
                  <w:u w:val="single"/>
                  <w:lang w:eastAsia="it-IT"/>
                </w:rPr>
                <w:t>Comunicazione sulle relazioni culturali internazionali</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Comunicato stampa :</w:t>
            </w:r>
          </w:p>
          <w:p w:rsidR="00AA1AEB" w:rsidRPr="00AA1AEB" w:rsidRDefault="00AA1AEB" w:rsidP="00AA1AEB">
            <w:pPr>
              <w:spacing w:after="0" w:afterAutospacing="0"/>
              <w:jc w:val="both"/>
              <w:rPr>
                <w:rFonts w:ascii="Arial" w:eastAsia="Times New Roman" w:hAnsi="Arial" w:cs="Arial"/>
                <w:sz w:val="24"/>
                <w:szCs w:val="24"/>
                <w:lang w:eastAsia="it-IT"/>
              </w:rPr>
            </w:pPr>
            <w:hyperlink r:id="rId38" w:tgtFrame="_blank" w:history="1">
              <w:r w:rsidRPr="00AA1AEB">
                <w:rPr>
                  <w:rFonts w:ascii="Arial" w:eastAsia="Times New Roman" w:hAnsi="Arial" w:cs="Arial"/>
                  <w:color w:val="1155CC"/>
                  <w:sz w:val="24"/>
                  <w:szCs w:val="24"/>
                  <w:u w:val="single"/>
                  <w:lang w:eastAsia="it-IT"/>
                </w:rPr>
                <w:t>http://ec.europa.eu/italy/news/2016/08062016_diplomazia_culturale_it.htm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ENERGIA</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(In primo piano)</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Energia, invito a presentare proposte CEF: 600 milioni di investimenti UE per le reti energetiche transfrontaliere. </w:t>
            </w:r>
            <w:r w:rsidRPr="00AA1AEB">
              <w:rPr>
                <w:rFonts w:ascii="Arial" w:eastAsia="Times New Roman" w:hAnsi="Arial" w:cs="Arial"/>
                <w:sz w:val="24"/>
                <w:szCs w:val="24"/>
                <w:lang w:eastAsia="it-IT"/>
              </w:rPr>
              <w:t xml:space="preserve">La Commissione europea ha aperto un invito a presentare proposte, nel quadro del meccanismo per collegare l'Europa (CEF), per favorire gli investimenti in progetti </w:t>
            </w:r>
            <w:proofErr w:type="spellStart"/>
            <w:r w:rsidRPr="00AA1AEB">
              <w:rPr>
                <w:rFonts w:ascii="Arial" w:eastAsia="Times New Roman" w:hAnsi="Arial" w:cs="Arial"/>
                <w:sz w:val="24"/>
                <w:szCs w:val="24"/>
                <w:lang w:eastAsia="it-IT"/>
              </w:rPr>
              <w:t>transeuropei</w:t>
            </w:r>
            <w:proofErr w:type="spellEnd"/>
            <w:r w:rsidRPr="00AA1AEB">
              <w:rPr>
                <w:rFonts w:ascii="Arial" w:eastAsia="Times New Roman" w:hAnsi="Arial" w:cs="Arial"/>
                <w:sz w:val="24"/>
                <w:szCs w:val="24"/>
                <w:lang w:eastAsia="it-IT"/>
              </w:rPr>
              <w:t xml:space="preserve"> di infrastrutture energetiche. Con un bilancio totale indicativo previsto per il 2016 di 800 milioni di euro per le sovvenzioni, questo è il secondo dei due inviti programmati quest'anno per il </w:t>
            </w:r>
            <w:hyperlink r:id="rId39" w:tgtFrame="_blank" w:history="1">
              <w:r w:rsidRPr="00AA1AEB">
                <w:rPr>
                  <w:rFonts w:ascii="Arial" w:eastAsia="Times New Roman" w:hAnsi="Arial" w:cs="Arial"/>
                  <w:color w:val="1155CC"/>
                  <w:sz w:val="24"/>
                  <w:szCs w:val="24"/>
                  <w:u w:val="single"/>
                  <w:lang w:eastAsia="it-IT"/>
                </w:rPr>
                <w:t>meccanismo per collegare l'Europa</w:t>
              </w:r>
            </w:hyperlink>
            <w:r w:rsidRPr="00AA1AEB">
              <w:rPr>
                <w:rFonts w:ascii="Arial" w:eastAsia="Times New Roman" w:hAnsi="Arial" w:cs="Arial"/>
                <w:sz w:val="24"/>
                <w:szCs w:val="24"/>
                <w:lang w:eastAsia="it-IT"/>
              </w:rPr>
              <w:t xml:space="preserve"> nel campo dell'energia. Il termine per la presentazione delle proposte è l'8 novembre 2016. La decisione sulla scelta delle proposte da finanziare dovrebbe essere presa entro marzo 2017. Le infrastrutture energetiche sono essenziali per raggiungere l'obiettivo connettività dell'Unione dell'energia. Saranno resi disponibili fino a 600 milioni di euro e la priorità sarà data ai progetti di interesse comune e alle azioni che migliorano la sicurezza dell'approvvigionamento energetico </w:t>
            </w:r>
            <w:r w:rsidRPr="00AA1AEB">
              <w:rPr>
                <w:rFonts w:ascii="Arial" w:eastAsia="Times New Roman" w:hAnsi="Arial" w:cs="Arial"/>
                <w:sz w:val="24"/>
                <w:szCs w:val="24"/>
                <w:lang w:eastAsia="it-IT"/>
              </w:rPr>
              <w:lastRenderedPageBreak/>
              <w:t>nell'UE, che aumentano la competitività e che contribuiscono allo sviluppo sostenibile e alla protezione dell'ambiente. Si ricorda che i finanziamenti dell'UE per le infrastrutture energetiche nel quadro del CEF per il periodo 2014-2020 ammontano a 5,35 miliardi di euro. Inoltre, il </w:t>
            </w:r>
            <w:hyperlink r:id="rId40" w:tgtFrame="_blank" w:history="1">
              <w:r w:rsidRPr="00AA1AEB">
                <w:rPr>
                  <w:rFonts w:ascii="Arial" w:eastAsia="Times New Roman" w:hAnsi="Arial" w:cs="Arial"/>
                  <w:color w:val="1155CC"/>
                  <w:sz w:val="24"/>
                  <w:szCs w:val="24"/>
                  <w:u w:val="single"/>
                  <w:lang w:eastAsia="it-IT"/>
                </w:rPr>
                <w:t>piano di investimenti per l'Europa</w:t>
              </w:r>
            </w:hyperlink>
            <w:r w:rsidRPr="00AA1AEB">
              <w:rPr>
                <w:rFonts w:ascii="Arial" w:eastAsia="Times New Roman" w:hAnsi="Arial" w:cs="Arial"/>
                <w:sz w:val="24"/>
                <w:szCs w:val="24"/>
                <w:lang w:eastAsia="it-IT"/>
              </w:rPr>
              <w:t> (FEIS) ha già contribuito a finanziare </w:t>
            </w:r>
            <w:hyperlink r:id="rId41" w:tgtFrame="_blank" w:history="1">
              <w:r w:rsidRPr="00AA1AEB">
                <w:rPr>
                  <w:rFonts w:ascii="Arial" w:eastAsia="Times New Roman" w:hAnsi="Arial" w:cs="Arial"/>
                  <w:color w:val="1155CC"/>
                  <w:sz w:val="24"/>
                  <w:szCs w:val="24"/>
                  <w:u w:val="single"/>
                  <w:lang w:val="de-DE" w:eastAsia="it-IT"/>
                </w:rPr>
                <w:t xml:space="preserve">24 </w:t>
              </w:r>
              <w:proofErr w:type="spellStart"/>
              <w:r w:rsidRPr="00AA1AEB">
                <w:rPr>
                  <w:rFonts w:ascii="Arial" w:eastAsia="Times New Roman" w:hAnsi="Arial" w:cs="Arial"/>
                  <w:color w:val="1155CC"/>
                  <w:sz w:val="24"/>
                  <w:szCs w:val="24"/>
                  <w:u w:val="single"/>
                  <w:lang w:val="de-DE" w:eastAsia="it-IT"/>
                </w:rPr>
                <w:t>progetti</w:t>
              </w:r>
              <w:proofErr w:type="spellEnd"/>
            </w:hyperlink>
            <w:r w:rsidRPr="00AA1AEB">
              <w:rPr>
                <w:rFonts w:ascii="Arial" w:eastAsia="Times New Roman" w:hAnsi="Arial" w:cs="Arial"/>
                <w:sz w:val="24"/>
                <w:szCs w:val="24"/>
                <w:lang w:eastAsia="it-IT"/>
              </w:rPr>
              <w:t> nel settore dell'energia e dell'azione per il clima. Link all’invito a presentare proposte:</w:t>
            </w:r>
          </w:p>
          <w:p w:rsidR="00AA1AEB" w:rsidRPr="00AA1AEB" w:rsidRDefault="00AA1AEB" w:rsidP="00AA1AEB">
            <w:pPr>
              <w:spacing w:after="0" w:afterAutospacing="0"/>
              <w:jc w:val="both"/>
              <w:rPr>
                <w:rFonts w:ascii="Arial" w:eastAsia="Times New Roman" w:hAnsi="Arial" w:cs="Arial"/>
                <w:sz w:val="24"/>
                <w:szCs w:val="24"/>
                <w:lang w:eastAsia="it-IT"/>
              </w:rPr>
            </w:pPr>
            <w:hyperlink r:id="rId42" w:tgtFrame="_blank" w:history="1">
              <w:r w:rsidRPr="00AA1AEB">
                <w:rPr>
                  <w:rFonts w:ascii="Arial" w:eastAsia="Times New Roman" w:hAnsi="Arial" w:cs="Arial"/>
                  <w:color w:val="1155CC"/>
                  <w:sz w:val="24"/>
                  <w:szCs w:val="24"/>
                  <w:u w:val="single"/>
                  <w:lang w:eastAsia="it-IT"/>
                </w:rPr>
                <w:t>https://ec.europa.eu/inea/en/connecting-europe-facility/cef-energy/calls/2016-cef-energy-calls-proposals</w:t>
              </w:r>
            </w:hyperlink>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ENERGIA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Adesione dell'UE a </w:t>
            </w:r>
            <w:proofErr w:type="spellStart"/>
            <w:r w:rsidRPr="00AA1AEB">
              <w:rPr>
                <w:rFonts w:ascii="Arial" w:eastAsia="Times New Roman" w:hAnsi="Arial" w:cs="Arial"/>
                <w:b/>
                <w:bCs/>
                <w:sz w:val="24"/>
                <w:szCs w:val="24"/>
                <w:lang w:eastAsia="it-IT"/>
              </w:rPr>
              <w:t>Mission</w:t>
            </w:r>
            <w:proofErr w:type="spellEnd"/>
            <w:r w:rsidRPr="00AA1AEB">
              <w:rPr>
                <w:rFonts w:ascii="Arial" w:eastAsia="Times New Roman" w:hAnsi="Arial" w:cs="Arial"/>
                <w:b/>
                <w:bCs/>
                <w:sz w:val="24"/>
                <w:szCs w:val="24"/>
                <w:lang w:eastAsia="it-IT"/>
              </w:rPr>
              <w:t xml:space="preserve"> </w:t>
            </w:r>
            <w:proofErr w:type="spellStart"/>
            <w:r w:rsidRPr="00AA1AEB">
              <w:rPr>
                <w:rFonts w:ascii="Arial" w:eastAsia="Times New Roman" w:hAnsi="Arial" w:cs="Arial"/>
                <w:b/>
                <w:bCs/>
                <w:sz w:val="24"/>
                <w:szCs w:val="24"/>
                <w:lang w:eastAsia="it-IT"/>
              </w:rPr>
              <w:t>Innovation</w:t>
            </w:r>
            <w:proofErr w:type="spellEnd"/>
            <w:r w:rsidRPr="00AA1AEB">
              <w:rPr>
                <w:rFonts w:ascii="Arial" w:eastAsia="Times New Roman" w:hAnsi="Arial" w:cs="Arial"/>
                <w:b/>
                <w:bCs/>
                <w:sz w:val="24"/>
                <w:szCs w:val="24"/>
                <w:lang w:eastAsia="it-IT"/>
              </w:rPr>
              <w:t>, un'iniziativa mondiale sull'energia pulita. </w:t>
            </w:r>
            <w:r w:rsidRPr="00AA1AEB">
              <w:rPr>
                <w:rFonts w:ascii="Arial" w:eastAsia="Times New Roman" w:hAnsi="Arial" w:cs="Arial"/>
                <w:sz w:val="24"/>
                <w:szCs w:val="24"/>
                <w:lang w:eastAsia="it-IT"/>
              </w:rPr>
              <w:t>In occasione dell'incontro ministeriale inaugurale a San Francisco del giugno scorso l'Unione europea ha aderito a </w:t>
            </w:r>
            <w:proofErr w:type="spellStart"/>
            <w:r w:rsidRPr="00AA1AEB">
              <w:rPr>
                <w:rFonts w:ascii="Arial" w:eastAsia="Times New Roman" w:hAnsi="Arial" w:cs="Arial"/>
                <w:sz w:val="24"/>
                <w:szCs w:val="24"/>
                <w:lang w:val="fr-FR" w:eastAsia="it-IT"/>
              </w:rPr>
              <w:fldChar w:fldCharType="begin"/>
            </w:r>
            <w:r w:rsidRPr="00AA1AEB">
              <w:rPr>
                <w:rFonts w:ascii="Arial" w:eastAsia="Times New Roman" w:hAnsi="Arial" w:cs="Arial"/>
                <w:sz w:val="24"/>
                <w:szCs w:val="24"/>
                <w:lang w:val="fr-FR" w:eastAsia="it-IT"/>
              </w:rPr>
              <w:instrText xml:space="preserve"> HYPERLINK "http://mission-innovation.net/" \t "_blank" </w:instrText>
            </w:r>
            <w:r w:rsidRPr="00AA1AEB">
              <w:rPr>
                <w:rFonts w:ascii="Arial" w:eastAsia="Times New Roman" w:hAnsi="Arial" w:cs="Arial"/>
                <w:sz w:val="24"/>
                <w:szCs w:val="24"/>
                <w:lang w:val="fr-FR" w:eastAsia="it-IT"/>
              </w:rPr>
              <w:fldChar w:fldCharType="separate"/>
            </w:r>
            <w:r w:rsidRPr="00AA1AEB">
              <w:rPr>
                <w:rFonts w:ascii="Arial" w:eastAsia="Times New Roman" w:hAnsi="Arial" w:cs="Arial"/>
                <w:color w:val="1155CC"/>
                <w:sz w:val="24"/>
                <w:szCs w:val="24"/>
                <w:u w:val="single"/>
                <w:lang w:eastAsia="it-IT"/>
              </w:rPr>
              <w:t>Mission</w:t>
            </w:r>
            <w:proofErr w:type="spellEnd"/>
            <w:r w:rsidRPr="00AA1AEB">
              <w:rPr>
                <w:rFonts w:ascii="Arial" w:eastAsia="Times New Roman" w:hAnsi="Arial" w:cs="Arial"/>
                <w:color w:val="1155CC"/>
                <w:sz w:val="24"/>
                <w:szCs w:val="24"/>
                <w:u w:val="single"/>
                <w:lang w:eastAsia="it-IT"/>
              </w:rPr>
              <w:t xml:space="preserve"> </w:t>
            </w:r>
            <w:proofErr w:type="spellStart"/>
            <w:r w:rsidRPr="00AA1AEB">
              <w:rPr>
                <w:rFonts w:ascii="Arial" w:eastAsia="Times New Roman" w:hAnsi="Arial" w:cs="Arial"/>
                <w:color w:val="1155CC"/>
                <w:sz w:val="24"/>
                <w:szCs w:val="24"/>
                <w:u w:val="single"/>
                <w:lang w:eastAsia="it-IT"/>
              </w:rPr>
              <w:t>Innovation</w:t>
            </w:r>
            <w:proofErr w:type="spellEnd"/>
            <w:r w:rsidRPr="00AA1AEB">
              <w:rPr>
                <w:rFonts w:ascii="Arial" w:eastAsia="Times New Roman" w:hAnsi="Arial" w:cs="Arial"/>
                <w:sz w:val="24"/>
                <w:szCs w:val="24"/>
                <w:lang w:val="fr-FR" w:eastAsia="it-IT"/>
              </w:rPr>
              <w:fldChar w:fldCharType="end"/>
            </w:r>
            <w:r w:rsidRPr="00AA1AEB">
              <w:rPr>
                <w:rFonts w:ascii="Arial" w:eastAsia="Times New Roman" w:hAnsi="Arial" w:cs="Arial"/>
                <w:sz w:val="24"/>
                <w:szCs w:val="24"/>
                <w:lang w:eastAsia="it-IT"/>
              </w:rPr>
              <w:t>, un'iniziativa mondiale sull'energia pulita. La Commissione europea ha aderito a questa iniziativa a nome dell'UE, che prevede di stanziare 10 miliardi di euro di finanziamenti per l'energia pulita nel periodo 2014-2020 nel quadro del programma dell'UE di ricerca e innovazione </w:t>
            </w:r>
            <w:proofErr w:type="spellStart"/>
            <w:r w:rsidRPr="00AA1AEB">
              <w:rPr>
                <w:rFonts w:ascii="Arial" w:eastAsia="Times New Roman" w:hAnsi="Arial" w:cs="Arial"/>
                <w:sz w:val="24"/>
                <w:szCs w:val="24"/>
                <w:lang w:val="fr-FR" w:eastAsia="it-IT"/>
              </w:rPr>
              <w:fldChar w:fldCharType="begin"/>
            </w:r>
            <w:r w:rsidRPr="00AA1AEB">
              <w:rPr>
                <w:rFonts w:ascii="Arial" w:eastAsia="Times New Roman" w:hAnsi="Arial" w:cs="Arial"/>
                <w:sz w:val="24"/>
                <w:szCs w:val="24"/>
                <w:lang w:val="fr-FR" w:eastAsia="it-IT"/>
              </w:rPr>
              <w:instrText xml:space="preserve"> HYPERLINK "https://ec.europa.eu/programmes/horizon2020/" \t "_blank" </w:instrText>
            </w:r>
            <w:r w:rsidRPr="00AA1AEB">
              <w:rPr>
                <w:rFonts w:ascii="Arial" w:eastAsia="Times New Roman" w:hAnsi="Arial" w:cs="Arial"/>
                <w:sz w:val="24"/>
                <w:szCs w:val="24"/>
                <w:lang w:val="fr-FR" w:eastAsia="it-IT"/>
              </w:rPr>
              <w:fldChar w:fldCharType="separate"/>
            </w:r>
            <w:r w:rsidRPr="00AA1AEB">
              <w:rPr>
                <w:rFonts w:ascii="Arial" w:eastAsia="Times New Roman" w:hAnsi="Arial" w:cs="Arial"/>
                <w:color w:val="1155CC"/>
                <w:sz w:val="24"/>
                <w:szCs w:val="24"/>
                <w:u w:val="single"/>
                <w:lang w:eastAsia="it-IT"/>
              </w:rPr>
              <w:t>Horizon</w:t>
            </w:r>
            <w:proofErr w:type="spellEnd"/>
            <w:r w:rsidRPr="00AA1AEB">
              <w:rPr>
                <w:rFonts w:ascii="Arial" w:eastAsia="Times New Roman" w:hAnsi="Arial" w:cs="Arial"/>
                <w:color w:val="1155CC"/>
                <w:sz w:val="24"/>
                <w:szCs w:val="24"/>
                <w:u w:val="single"/>
                <w:lang w:eastAsia="it-IT"/>
              </w:rPr>
              <w:t xml:space="preserve"> 2020</w:t>
            </w:r>
            <w:r w:rsidRPr="00AA1AEB">
              <w:rPr>
                <w:rFonts w:ascii="Arial" w:eastAsia="Times New Roman" w:hAnsi="Arial" w:cs="Arial"/>
                <w:sz w:val="24"/>
                <w:szCs w:val="24"/>
                <w:lang w:val="fr-FR" w:eastAsia="it-IT"/>
              </w:rPr>
              <w:fldChar w:fldCharType="end"/>
            </w:r>
            <w:r w:rsidRPr="00AA1AEB">
              <w:rPr>
                <w:rFonts w:ascii="Arial" w:eastAsia="Times New Roman" w:hAnsi="Arial" w:cs="Arial"/>
                <w:sz w:val="24"/>
                <w:szCs w:val="24"/>
                <w:lang w:eastAsia="it-IT"/>
              </w:rPr>
              <w:t xml:space="preserve">. L'iniziativa </w:t>
            </w:r>
            <w:proofErr w:type="spellStart"/>
            <w:r w:rsidRPr="00AA1AEB">
              <w:rPr>
                <w:rFonts w:ascii="Arial" w:eastAsia="Times New Roman" w:hAnsi="Arial" w:cs="Arial"/>
                <w:sz w:val="24"/>
                <w:szCs w:val="24"/>
                <w:lang w:eastAsia="it-IT"/>
              </w:rPr>
              <w:t>Mission</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Innovation</w:t>
            </w:r>
            <w:proofErr w:type="spellEnd"/>
            <w:r w:rsidRPr="00AA1AEB">
              <w:rPr>
                <w:rFonts w:ascii="Arial" w:eastAsia="Times New Roman" w:hAnsi="Arial" w:cs="Arial"/>
                <w:sz w:val="24"/>
                <w:szCs w:val="24"/>
                <w:lang w:eastAsia="it-IT"/>
              </w:rPr>
              <w:t xml:space="preserve"> era stata presentata alla conferenza delle Nazioni Unite sui cambiamenti climatici (COP 21) di Parigi. Ad oggi 20 delle principali economie mondiali, che rappresentano il 58% della popolazione mondiale e oltre l'80% dei bilanci mondiali per la ricerca in materia di energia pulita, hanno dichiarato di voler raddoppiare gli investimenti nazionali nella ricerca e nell’innovazione in questo settore nei prossimi cinque anni. </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w:t>
            </w:r>
            <w:hyperlink r:id="rId43" w:tgtFrame="_blank" w:history="1">
              <w:r w:rsidRPr="00AA1AEB">
                <w:rPr>
                  <w:rFonts w:ascii="Arial" w:eastAsia="Times New Roman" w:hAnsi="Arial" w:cs="Arial"/>
                  <w:color w:val="1155CC"/>
                  <w:sz w:val="24"/>
                  <w:szCs w:val="24"/>
                  <w:u w:val="single"/>
                  <w:lang w:eastAsia="it-IT"/>
                </w:rPr>
                <w:t>Comunicato stampa</w:t>
              </w:r>
            </w:hyperlink>
            <w:r w:rsidRPr="00AA1AEB">
              <w:rPr>
                <w:rFonts w:ascii="Arial" w:eastAsia="Times New Roman" w:hAnsi="Arial" w:cs="Arial"/>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GIUSTIZIA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Giustizia, Commissione UE propone nuove norme per una maggiore tutela dei minori nei controversie familiari transfrontaliere. </w:t>
            </w:r>
            <w:r w:rsidRPr="00AA1AEB">
              <w:rPr>
                <w:rFonts w:ascii="Arial" w:eastAsia="Times New Roman" w:hAnsi="Arial" w:cs="Arial"/>
                <w:sz w:val="24"/>
                <w:szCs w:val="24"/>
                <w:lang w:eastAsia="it-IT"/>
              </w:rPr>
              <w:t>La Commissione europea ha recentemente proposto un regolamento per migliorare le norme UE a tutela dei minori nelle controversie transfrontaliere sulla responsabilità genitoriale che riguardano affidamento, diritti di visita e sottrazione di minore. Le nuove norme dovrebbero rendere più rapidi i procedimenti giudiziari e amministrativi e garantire il rispetto dell'interesse superiore del minore nelle controversie familiari in cui coppie di genitori (o tutori), vivono in stati europei differenti. Link alla proposta di regolamento</w:t>
            </w:r>
            <w:r w:rsidRPr="00AA1AEB">
              <w:rPr>
                <w:rFonts w:ascii="Arial" w:eastAsia="Times New Roman" w:hAnsi="Arial" w:cs="Arial"/>
                <w:b/>
                <w:bCs/>
                <w:sz w:val="24"/>
                <w:szCs w:val="24"/>
                <w:lang w:eastAsia="it-IT"/>
              </w:rPr>
              <w:t>: </w:t>
            </w:r>
            <w:hyperlink r:id="rId44" w:tgtFrame="_blank" w:history="1">
              <w:r w:rsidRPr="00AA1AEB">
                <w:rPr>
                  <w:rFonts w:ascii="Arial" w:eastAsia="Times New Roman" w:hAnsi="Arial" w:cs="Arial"/>
                  <w:color w:val="1155CC"/>
                  <w:sz w:val="24"/>
                  <w:szCs w:val="24"/>
                  <w:u w:val="single"/>
                  <w:lang w:eastAsia="it-IT"/>
                </w:rPr>
                <w:t>http://ec.europa.eu/justice/civil/files/family-matters/brussels2_regulation_en.pdf</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Comunicato stampa: </w:t>
            </w:r>
            <w:hyperlink r:id="rId45" w:tgtFrame="_blank" w:history="1">
              <w:r w:rsidRPr="00AA1AEB">
                <w:rPr>
                  <w:rFonts w:ascii="Arial" w:eastAsia="Times New Roman" w:hAnsi="Arial" w:cs="Arial"/>
                  <w:color w:val="1155CC"/>
                  <w:sz w:val="24"/>
                  <w:szCs w:val="24"/>
                  <w:u w:val="single"/>
                  <w:lang w:eastAsia="it-IT"/>
                </w:rPr>
                <w:t>https://ec.europa.eu/italy/node/3654_it</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IMPRESE</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 </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Piano di investimenti per l'Europa: 50 milioni di euro alle PMI italiane. </w:t>
            </w:r>
            <w:r w:rsidRPr="00AA1AEB">
              <w:rPr>
                <w:rFonts w:ascii="Arial" w:eastAsia="Times New Roman" w:hAnsi="Arial" w:cs="Arial"/>
                <w:sz w:val="24"/>
                <w:szCs w:val="24"/>
                <w:lang w:eastAsia="it-IT"/>
              </w:rPr>
              <w:t xml:space="preserve">Il Fondo europeo per gli investimenti (FEI) e </w:t>
            </w:r>
            <w:proofErr w:type="spellStart"/>
            <w:r w:rsidRPr="00AA1AEB">
              <w:rPr>
                <w:rFonts w:ascii="Arial" w:eastAsia="Times New Roman" w:hAnsi="Arial" w:cs="Arial"/>
                <w:sz w:val="24"/>
                <w:szCs w:val="24"/>
                <w:lang w:eastAsia="it-IT"/>
              </w:rPr>
              <w:t>Tenax</w:t>
            </w:r>
            <w:proofErr w:type="spellEnd"/>
            <w:r w:rsidRPr="00AA1AEB">
              <w:rPr>
                <w:rFonts w:ascii="Arial" w:eastAsia="Times New Roman" w:hAnsi="Arial" w:cs="Arial"/>
                <w:sz w:val="24"/>
                <w:szCs w:val="24"/>
                <w:lang w:eastAsia="it-IT"/>
              </w:rPr>
              <w:t xml:space="preserve"> Capital </w:t>
            </w:r>
            <w:proofErr w:type="spellStart"/>
            <w:r w:rsidRPr="00AA1AEB">
              <w:rPr>
                <w:rFonts w:ascii="Arial" w:eastAsia="Times New Roman" w:hAnsi="Arial" w:cs="Arial"/>
                <w:sz w:val="24"/>
                <w:szCs w:val="24"/>
                <w:lang w:eastAsia="it-IT"/>
              </w:rPr>
              <w:t>Limited</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Tenax</w:t>
            </w:r>
            <w:proofErr w:type="spellEnd"/>
            <w:r w:rsidRPr="00AA1AEB">
              <w:rPr>
                <w:rFonts w:ascii="Arial" w:eastAsia="Times New Roman" w:hAnsi="Arial" w:cs="Arial"/>
                <w:sz w:val="24"/>
                <w:szCs w:val="24"/>
                <w:lang w:eastAsia="it-IT"/>
              </w:rPr>
              <w:t xml:space="preserve">) hanno firmato un accordo di garanzia </w:t>
            </w:r>
            <w:proofErr w:type="spellStart"/>
            <w:r w:rsidRPr="00AA1AEB">
              <w:rPr>
                <w:rFonts w:ascii="Arial" w:eastAsia="Times New Roman" w:hAnsi="Arial" w:cs="Arial"/>
                <w:sz w:val="24"/>
                <w:szCs w:val="24"/>
                <w:lang w:eastAsia="it-IT"/>
              </w:rPr>
              <w:t>InnovFin</w:t>
            </w:r>
            <w:proofErr w:type="spellEnd"/>
            <w:r w:rsidRPr="00AA1AEB">
              <w:rPr>
                <w:rFonts w:ascii="Arial" w:eastAsia="Times New Roman" w:hAnsi="Arial" w:cs="Arial"/>
                <w:sz w:val="24"/>
                <w:szCs w:val="24"/>
                <w:lang w:eastAsia="it-IT"/>
              </w:rPr>
              <w:t xml:space="preserve"> per le PMI per destinare 50 milioni di euro alle piccole e medie imprese innovative in Italia. Questa intesa, conclusa nel mese di luglio, gode del sostegno del Fondo europeo per gli investimenti strategici (FEIS), il cuore del </w:t>
            </w:r>
            <w:hyperlink r:id="rId46" w:tgtFrame="_blank" w:history="1">
              <w:r w:rsidRPr="00AA1AEB">
                <w:rPr>
                  <w:rFonts w:ascii="Arial" w:eastAsia="Times New Roman" w:hAnsi="Arial" w:cs="Arial"/>
                  <w:color w:val="1155CC"/>
                  <w:sz w:val="24"/>
                  <w:szCs w:val="24"/>
                  <w:u w:val="single"/>
                  <w:lang w:eastAsia="it-IT"/>
                </w:rPr>
                <w:t>Piano di investimenti per l'Europa</w:t>
              </w:r>
            </w:hyperlink>
            <w:r w:rsidRPr="00AA1AEB">
              <w:rPr>
                <w:rFonts w:ascii="Arial" w:eastAsia="Times New Roman" w:hAnsi="Arial" w:cs="Arial"/>
                <w:sz w:val="24"/>
                <w:szCs w:val="24"/>
                <w:lang w:eastAsia="it-IT"/>
              </w:rPr>
              <w:t>. Comunicato stampa:</w:t>
            </w:r>
          </w:p>
          <w:p w:rsidR="00AA1AEB" w:rsidRPr="00AA1AEB" w:rsidRDefault="00AA1AEB" w:rsidP="00AA1AEB">
            <w:pPr>
              <w:spacing w:after="0" w:afterAutospacing="0"/>
              <w:jc w:val="both"/>
              <w:rPr>
                <w:rFonts w:ascii="Arial" w:eastAsia="Times New Roman" w:hAnsi="Arial" w:cs="Arial"/>
                <w:sz w:val="24"/>
                <w:szCs w:val="24"/>
                <w:lang w:eastAsia="it-IT"/>
              </w:rPr>
            </w:pPr>
            <w:hyperlink r:id="rId47" w:tgtFrame="_blank" w:history="1">
              <w:r w:rsidRPr="00AA1AEB">
                <w:rPr>
                  <w:rFonts w:ascii="Arial" w:eastAsia="Times New Roman" w:hAnsi="Arial" w:cs="Arial"/>
                  <w:color w:val="1155CC"/>
                  <w:sz w:val="24"/>
                  <w:szCs w:val="24"/>
                  <w:u w:val="single"/>
                  <w:lang w:eastAsia="it-IT"/>
                </w:rPr>
                <w:t>http://www.eif.org/what_we_do/guarantees/news/2016/efsi_innovfin_tenax.htm</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IMPRESE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Imprese, FEI e Banca Sella firmano un accordo per il sostegno alle </w:t>
            </w:r>
            <w:proofErr w:type="spellStart"/>
            <w:r w:rsidRPr="00AA1AEB">
              <w:rPr>
                <w:rFonts w:ascii="Arial" w:eastAsia="Times New Roman" w:hAnsi="Arial" w:cs="Arial"/>
                <w:b/>
                <w:bCs/>
                <w:sz w:val="24"/>
                <w:szCs w:val="24"/>
                <w:lang w:eastAsia="it-IT"/>
              </w:rPr>
              <w:t>Pmi</w:t>
            </w:r>
            <w:proofErr w:type="spellEnd"/>
            <w:r w:rsidRPr="00AA1AEB">
              <w:rPr>
                <w:rFonts w:ascii="Arial" w:eastAsia="Times New Roman" w:hAnsi="Arial" w:cs="Arial"/>
                <w:b/>
                <w:bCs/>
                <w:sz w:val="24"/>
                <w:szCs w:val="24"/>
                <w:lang w:eastAsia="it-IT"/>
              </w:rPr>
              <w:t xml:space="preserve"> innovative italiane. </w:t>
            </w:r>
            <w:r w:rsidRPr="00AA1AEB">
              <w:rPr>
                <w:rFonts w:ascii="Arial" w:eastAsia="Times New Roman" w:hAnsi="Arial" w:cs="Arial"/>
                <w:sz w:val="24"/>
                <w:szCs w:val="24"/>
                <w:lang w:eastAsia="it-IT"/>
              </w:rPr>
              <w:t>Il Fondo Europeo per gli Investimenti (FEI) e la Banca Sella hanno firmato durante l’estate un accordo  denominato “</w:t>
            </w:r>
            <w:proofErr w:type="spellStart"/>
            <w:r w:rsidRPr="00AA1AEB">
              <w:rPr>
                <w:rFonts w:ascii="Arial" w:eastAsia="Times New Roman" w:hAnsi="Arial" w:cs="Arial"/>
                <w:sz w:val="24"/>
                <w:szCs w:val="24"/>
                <w:lang w:eastAsia="it-IT"/>
              </w:rPr>
              <w:t>InnovFin</w:t>
            </w:r>
            <w:proofErr w:type="spellEnd"/>
            <w:r w:rsidRPr="00AA1AEB">
              <w:rPr>
                <w:rFonts w:ascii="Arial" w:eastAsia="Times New Roman" w:hAnsi="Arial" w:cs="Arial"/>
                <w:sz w:val="24"/>
                <w:szCs w:val="24"/>
                <w:lang w:eastAsia="it-IT"/>
              </w:rPr>
              <w:t>”, a supporto delle PMI e delle imprese a media capitalizzazione italiane. L’accordo beneficia del sostegno del Fondo Europeo per gli Investimenti Strategici (FEIS), lo strumento principale del Piano di Investimenti per l’Europa. “</w:t>
            </w:r>
            <w:proofErr w:type="spellStart"/>
            <w:r w:rsidRPr="00AA1AEB">
              <w:rPr>
                <w:rFonts w:ascii="Arial" w:eastAsia="Times New Roman" w:hAnsi="Arial" w:cs="Arial"/>
                <w:sz w:val="24"/>
                <w:szCs w:val="24"/>
                <w:lang w:eastAsia="it-IT"/>
              </w:rPr>
              <w:t>InnovFin</w:t>
            </w:r>
            <w:proofErr w:type="spellEnd"/>
            <w:r w:rsidRPr="00AA1AEB">
              <w:rPr>
                <w:rFonts w:ascii="Arial" w:eastAsia="Times New Roman" w:hAnsi="Arial" w:cs="Arial"/>
                <w:sz w:val="24"/>
                <w:szCs w:val="24"/>
                <w:lang w:eastAsia="it-IT"/>
              </w:rPr>
              <w:t xml:space="preserve">” permetterà a Banca Sella di mettere a disposizione delle imprese italiane innovative finanziamenti erogabili nel corso dei prossimi due anni, grazie al supporto di una garanzia del FEI e con il sostegno di </w:t>
            </w:r>
            <w:proofErr w:type="spellStart"/>
            <w:r w:rsidRPr="00AA1AEB">
              <w:rPr>
                <w:rFonts w:ascii="Arial" w:eastAsia="Times New Roman" w:hAnsi="Arial" w:cs="Arial"/>
                <w:sz w:val="24"/>
                <w:szCs w:val="24"/>
                <w:lang w:eastAsia="it-IT"/>
              </w:rPr>
              <w:t>Horizon</w:t>
            </w:r>
            <w:proofErr w:type="spellEnd"/>
            <w:r w:rsidRPr="00AA1AEB">
              <w:rPr>
                <w:rFonts w:ascii="Arial" w:eastAsia="Times New Roman" w:hAnsi="Arial" w:cs="Arial"/>
                <w:sz w:val="24"/>
                <w:szCs w:val="24"/>
                <w:lang w:eastAsia="it-IT"/>
              </w:rPr>
              <w:t xml:space="preserve"> 2020, il programma quadro dell’Unione Europea per la ricerca e l’innovazione. Si prevede che l’iniziativa dell’Unione Europea rivolta alle aziende innovative italiane possa generare un portafoglio da 80 milioni di euro di finanziamenti.</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xml:space="preserve">Si ricorda che il prodotto di garanzia </w:t>
            </w:r>
            <w:proofErr w:type="spellStart"/>
            <w:r w:rsidRPr="00AA1AEB">
              <w:rPr>
                <w:rFonts w:ascii="Arial" w:eastAsia="Times New Roman" w:hAnsi="Arial" w:cs="Arial"/>
                <w:sz w:val="24"/>
                <w:szCs w:val="24"/>
                <w:lang w:eastAsia="it-IT"/>
              </w:rPr>
              <w:t>InnovFin</w:t>
            </w:r>
            <w:proofErr w:type="spellEnd"/>
            <w:r w:rsidRPr="00AA1AEB">
              <w:rPr>
                <w:rFonts w:ascii="Arial" w:eastAsia="Times New Roman" w:hAnsi="Arial" w:cs="Arial"/>
                <w:sz w:val="24"/>
                <w:szCs w:val="24"/>
                <w:lang w:eastAsia="it-IT"/>
              </w:rPr>
              <w:t xml:space="preserve"> per le PMI fornisce garanzie e controgaranzie sui prestiti per importi compresi fra i 25mila euro e i 7,5 milioni di euro. L’obiettivo è migliorare l'accesso al credito delle piccole e medie imprese e delle imprese a media capitalizzazione (fino a 499 dipendenti) innovative. Lo strumento è gestito dal FEI e l'attuazione è affidata agli intermediari finanziari (banche e altri istituti di credito) negli Stati membri dell'UE e nei paesi associati. Comunicato stampa: </w:t>
            </w:r>
            <w:hyperlink r:id="rId48" w:tgtFrame="_blank" w:history="1">
              <w:r w:rsidRPr="00AA1AEB">
                <w:rPr>
                  <w:rFonts w:ascii="Arial" w:eastAsia="Times New Roman" w:hAnsi="Arial" w:cs="Arial"/>
                  <w:color w:val="1155CC"/>
                  <w:sz w:val="24"/>
                  <w:szCs w:val="24"/>
                  <w:u w:val="single"/>
                  <w:lang w:eastAsia="it-IT"/>
                </w:rPr>
                <w:t>http://www.eif.org/what_we_do/guarantees/news/2016/efsi_innovfin_banca_sella.htm</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MERCATO INTERNO / IMPRESE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Mercato interno, nuove misure dall’UE per stimolare il Venture capital in Europa. </w:t>
            </w:r>
            <w:r w:rsidRPr="00AA1AEB">
              <w:rPr>
                <w:rFonts w:ascii="Arial" w:eastAsia="Times New Roman" w:hAnsi="Arial" w:cs="Arial"/>
                <w:sz w:val="24"/>
                <w:szCs w:val="24"/>
                <w:lang w:eastAsia="it-IT"/>
              </w:rPr>
              <w:t>La Commissione europea ha proposto le modifiche dei regolamenti sui fondi europei per il venture capital (</w:t>
            </w:r>
            <w:proofErr w:type="spellStart"/>
            <w:r w:rsidRPr="00AA1AEB">
              <w:rPr>
                <w:rFonts w:ascii="Arial" w:eastAsia="Times New Roman" w:hAnsi="Arial" w:cs="Arial"/>
                <w:sz w:val="24"/>
                <w:szCs w:val="24"/>
                <w:lang w:eastAsia="it-IT"/>
              </w:rPr>
              <w:t>EuVECA</w:t>
            </w:r>
            <w:proofErr w:type="spellEnd"/>
            <w:r w:rsidRPr="00AA1AEB">
              <w:rPr>
                <w:rFonts w:ascii="Arial" w:eastAsia="Times New Roman" w:hAnsi="Arial" w:cs="Arial"/>
                <w:sz w:val="24"/>
                <w:szCs w:val="24"/>
                <w:lang w:eastAsia="it-IT"/>
              </w:rPr>
              <w:t>) e sui fondi europei per l’imprenditoria sociale (</w:t>
            </w:r>
            <w:proofErr w:type="spellStart"/>
            <w:r w:rsidRPr="00AA1AEB">
              <w:rPr>
                <w:rFonts w:ascii="Arial" w:eastAsia="Times New Roman" w:hAnsi="Arial" w:cs="Arial"/>
                <w:sz w:val="24"/>
                <w:szCs w:val="24"/>
                <w:lang w:eastAsia="it-IT"/>
              </w:rPr>
              <w:t>EuSEF</w:t>
            </w:r>
            <w:proofErr w:type="spellEnd"/>
            <w:r w:rsidRPr="00AA1AEB">
              <w:rPr>
                <w:rFonts w:ascii="Arial" w:eastAsia="Times New Roman" w:hAnsi="Arial" w:cs="Arial"/>
                <w:sz w:val="24"/>
                <w:szCs w:val="24"/>
                <w:lang w:eastAsia="it-IT"/>
              </w:rPr>
              <w:t xml:space="preserve">). La proposta mira a stimolare gli investimenti in capitale di rischio e progetti sociali e a rendere più semplice l'investimento per le piccole e medie imprese innovative. In particolare, la Commissione propone di ampliare la gamma dei gestori ammessi a commercializzare e gestire fondi </w:t>
            </w:r>
            <w:proofErr w:type="spellStart"/>
            <w:r w:rsidRPr="00AA1AEB">
              <w:rPr>
                <w:rFonts w:ascii="Arial" w:eastAsia="Times New Roman" w:hAnsi="Arial" w:cs="Arial"/>
                <w:sz w:val="24"/>
                <w:szCs w:val="24"/>
                <w:lang w:eastAsia="it-IT"/>
              </w:rPr>
              <w:t>EuVECA</w:t>
            </w:r>
            <w:proofErr w:type="spellEnd"/>
            <w:r w:rsidRPr="00AA1AEB">
              <w:rPr>
                <w:rFonts w:ascii="Arial" w:eastAsia="Times New Roman" w:hAnsi="Arial" w:cs="Arial"/>
                <w:sz w:val="24"/>
                <w:szCs w:val="24"/>
                <w:lang w:eastAsia="it-IT"/>
              </w:rPr>
              <w:t xml:space="preserve"> e </w:t>
            </w:r>
            <w:proofErr w:type="spellStart"/>
            <w:r w:rsidRPr="00AA1AEB">
              <w:rPr>
                <w:rFonts w:ascii="Arial" w:eastAsia="Times New Roman" w:hAnsi="Arial" w:cs="Arial"/>
                <w:sz w:val="24"/>
                <w:szCs w:val="24"/>
                <w:lang w:eastAsia="it-IT"/>
              </w:rPr>
              <w:t>EuSEF</w:t>
            </w:r>
            <w:proofErr w:type="spellEnd"/>
            <w:r w:rsidRPr="00AA1AEB">
              <w:rPr>
                <w:rFonts w:ascii="Arial" w:eastAsia="Times New Roman" w:hAnsi="Arial" w:cs="Arial"/>
                <w:sz w:val="24"/>
                <w:szCs w:val="24"/>
                <w:lang w:eastAsia="it-IT"/>
              </w:rPr>
              <w:t xml:space="preserve"> includendovi i gestori di fondi più grandi, ossia quelli le cui attività gestite superano i 500 milioni di EUR e di ampliare la gamma delle imprese nelle quali è possibile investire. Queste riforme costituiscono una delle misure che la Commissione europea sta adottando per stimolare il venture capital in Europa. Tra queste rientrano anche il sostegno del bilancio dell'UE per attrarre i capitali dei grandi investitori istituzionali tramite un fondo di fondi paneuropeo di venture capital e la promozione delle migliori pratiche d'incentivazione fiscale del capitale di rischio a livello nazionale per favorire gli investimenti nelle PMI e nelle imprese in fase di avviamento. Sito ufficiale:</w:t>
            </w:r>
          </w:p>
          <w:p w:rsidR="00AA1AEB" w:rsidRPr="00AA1AEB" w:rsidRDefault="00AA1AEB" w:rsidP="00AA1AEB">
            <w:pPr>
              <w:spacing w:after="0" w:afterAutospacing="0"/>
              <w:jc w:val="both"/>
              <w:rPr>
                <w:rFonts w:ascii="Arial" w:eastAsia="Times New Roman" w:hAnsi="Arial" w:cs="Arial"/>
                <w:sz w:val="24"/>
                <w:szCs w:val="24"/>
                <w:lang w:eastAsia="it-IT"/>
              </w:rPr>
            </w:pPr>
            <w:hyperlink r:id="rId49" w:tgtFrame="_blank" w:history="1">
              <w:r w:rsidRPr="00AA1AEB">
                <w:rPr>
                  <w:rFonts w:ascii="Arial" w:eastAsia="Times New Roman" w:hAnsi="Arial" w:cs="Arial"/>
                  <w:color w:val="1155CC"/>
                  <w:sz w:val="24"/>
                  <w:szCs w:val="24"/>
                  <w:u w:val="single"/>
                  <w:lang w:eastAsia="it-IT"/>
                </w:rPr>
                <w:t>http://ec.europa.eu/finance/investment/venture_capital/index_en.htm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OCCUPAZIONE/</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FORMAZIONE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before="0" w:beforeAutospacing="0" w:after="0" w:afterAutospacing="0"/>
              <w:jc w:val="both"/>
              <w:rPr>
                <w:rFonts w:ascii="Arial" w:eastAsia="Times New Roman" w:hAnsi="Arial" w:cs="Arial"/>
                <w:sz w:val="20"/>
                <w:szCs w:val="20"/>
                <w:lang w:eastAsia="it-IT"/>
              </w:rPr>
            </w:pPr>
            <w:r w:rsidRPr="00AA1AEB">
              <w:rPr>
                <w:rFonts w:ascii="Calibri" w:eastAsia="Times New Roman" w:hAnsi="Calibri" w:cs="Arial"/>
                <w:b/>
                <w:bCs/>
                <w:sz w:val="22"/>
                <w:lang w:eastAsia="it-IT"/>
              </w:rPr>
              <w:t>Formazione, dieci iniziative per dotare l'Europa di migliori competenze. </w:t>
            </w:r>
            <w:r w:rsidRPr="00AA1AEB">
              <w:rPr>
                <w:rFonts w:ascii="Calibri" w:eastAsia="Times New Roman" w:hAnsi="Calibri" w:cs="Arial"/>
                <w:sz w:val="22"/>
                <w:lang w:eastAsia="it-IT"/>
              </w:rPr>
              <w:t>La Commissione europea ha adottato una nuova agenda globale per le competenze a livello europeo. L’obiettivo è garantire che tutti, fin da giovani, sviluppino una vasta gamma di competenze. La nuova agenda invita gli Stati membri e le parti interessate a migliorare la qualità delle competenze in linea con le esigenze del mercato del lavoro. In particolare la Commissione UE propone di avviare dieci iniziative da intraprendere nel corso dei prossimi due anni. Tra queste sono incluse una revisione del</w:t>
            </w:r>
            <w:r w:rsidRPr="00AA1AEB">
              <w:rPr>
                <w:rFonts w:ascii="Calibri" w:eastAsia="Times New Roman" w:hAnsi="Calibri" w:cs="Arial"/>
                <w:b/>
                <w:bCs/>
                <w:sz w:val="22"/>
                <w:lang w:eastAsia="it-IT"/>
              </w:rPr>
              <w:t> </w:t>
            </w:r>
            <w:r w:rsidRPr="00AA1AEB">
              <w:rPr>
                <w:rFonts w:ascii="Calibri" w:eastAsia="Times New Roman" w:hAnsi="Calibri" w:cs="Arial"/>
                <w:sz w:val="22"/>
                <w:lang w:eastAsia="it-IT"/>
              </w:rPr>
              <w:t xml:space="preserve">quadro europeo delle </w:t>
            </w:r>
            <w:proofErr w:type="spellStart"/>
            <w:r w:rsidRPr="00AA1AEB">
              <w:rPr>
                <w:rFonts w:ascii="Calibri" w:eastAsia="Times New Roman" w:hAnsi="Calibri" w:cs="Arial"/>
                <w:sz w:val="22"/>
                <w:lang w:eastAsia="it-IT"/>
              </w:rPr>
              <w:lastRenderedPageBreak/>
              <w:t>qualifichee</w:t>
            </w:r>
            <w:proofErr w:type="spellEnd"/>
            <w:r w:rsidRPr="00AA1AEB">
              <w:rPr>
                <w:rFonts w:ascii="Calibri" w:eastAsia="Times New Roman" w:hAnsi="Calibri" w:cs="Arial"/>
                <w:sz w:val="22"/>
                <w:lang w:eastAsia="it-IT"/>
              </w:rPr>
              <w:t xml:space="preserve"> la  "coalizione per le competenze e le occupazioni digitali", che riunisce Stati membri e parti interessate dei settori dell'istruzione, dell'occupazione e dell'industria, per sviluppare un ampio bacino di talenti digitali. Comunicato stampa:</w:t>
            </w:r>
          </w:p>
          <w:p w:rsidR="00AA1AEB" w:rsidRPr="00AA1AEB" w:rsidRDefault="00AA1AEB" w:rsidP="00AA1AEB">
            <w:pPr>
              <w:spacing w:before="0" w:beforeAutospacing="0" w:after="0" w:afterAutospacing="0"/>
              <w:jc w:val="both"/>
              <w:rPr>
                <w:rFonts w:ascii="Arial" w:eastAsia="Times New Roman" w:hAnsi="Arial" w:cs="Arial"/>
                <w:sz w:val="20"/>
                <w:szCs w:val="20"/>
                <w:lang w:eastAsia="it-IT"/>
              </w:rPr>
            </w:pPr>
            <w:hyperlink r:id="rId50" w:tgtFrame="_blank" w:history="1">
              <w:r w:rsidRPr="00AA1AEB">
                <w:rPr>
                  <w:rFonts w:ascii="Arial" w:eastAsia="Times New Roman" w:hAnsi="Arial" w:cs="Arial"/>
                  <w:color w:val="1155CC"/>
                  <w:sz w:val="22"/>
                  <w:u w:val="single"/>
                  <w:lang w:eastAsia="it-IT"/>
                </w:rPr>
                <w:t>http://ec.europa.eu/italy/news/2016/20160610_migliori_competenze_europa_it.htm</w:t>
              </w:r>
            </w:hyperlink>
          </w:p>
          <w:p w:rsidR="00AA1AEB" w:rsidRPr="00AA1AEB" w:rsidRDefault="00AA1AEB" w:rsidP="00AA1AEB">
            <w:pPr>
              <w:shd w:val="clear" w:color="auto" w:fill="FFFFFF"/>
              <w:spacing w:after="0" w:afterAutospacing="0"/>
              <w:jc w:val="both"/>
              <w:rPr>
                <w:rFonts w:ascii="Arial" w:eastAsia="Times New Roman" w:hAnsi="Arial" w:cs="Arial"/>
                <w:sz w:val="24"/>
                <w:szCs w:val="24"/>
                <w:lang w:eastAsia="it-IT"/>
              </w:rPr>
            </w:pPr>
            <w:r w:rsidRPr="00AA1AEB">
              <w:rPr>
                <w:rFonts w:ascii="Arial" w:eastAsia="Times New Roman" w:hAnsi="Arial" w:cs="Arial"/>
                <w:b/>
                <w:bCs/>
                <w:i/>
                <w:i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POLITICA REGIONALE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Politica regionale, Settimana europea delle Regioni e Città 2016: aperte iscrizioni online fino al 26 settembre. </w:t>
            </w:r>
            <w:r w:rsidRPr="00AA1AEB">
              <w:rPr>
                <w:rFonts w:ascii="Arial" w:eastAsia="Times New Roman" w:hAnsi="Arial" w:cs="Arial"/>
                <w:sz w:val="24"/>
                <w:szCs w:val="24"/>
                <w:lang w:eastAsia="it-IT"/>
              </w:rPr>
              <w:t>Dal 10 al 13 ottobre 2016 a Bruxelles si terrà l’edizione 2016 degli OPEND DAYS (“</w:t>
            </w:r>
            <w:proofErr w:type="spellStart"/>
            <w:r w:rsidRPr="00AA1AEB">
              <w:rPr>
                <w:rFonts w:ascii="Arial" w:eastAsia="Times New Roman" w:hAnsi="Arial" w:cs="Arial"/>
                <w:sz w:val="24"/>
                <w:szCs w:val="24"/>
                <w:lang w:eastAsia="it-IT"/>
              </w:rPr>
              <w:t>European</w:t>
            </w:r>
            <w:proofErr w:type="spellEnd"/>
            <w:r w:rsidRPr="00AA1AEB">
              <w:rPr>
                <w:rFonts w:ascii="Arial" w:eastAsia="Times New Roman" w:hAnsi="Arial" w:cs="Arial"/>
                <w:sz w:val="24"/>
                <w:szCs w:val="24"/>
                <w:lang w:eastAsia="it-IT"/>
              </w:rPr>
              <w:t xml:space="preserve"> Week </w:t>
            </w:r>
            <w:proofErr w:type="spellStart"/>
            <w:r w:rsidRPr="00AA1AEB">
              <w:rPr>
                <w:rFonts w:ascii="Arial" w:eastAsia="Times New Roman" w:hAnsi="Arial" w:cs="Arial"/>
                <w:sz w:val="24"/>
                <w:szCs w:val="24"/>
                <w:lang w:eastAsia="it-IT"/>
              </w:rPr>
              <w:t>of</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Regions</w:t>
            </w:r>
            <w:proofErr w:type="spellEnd"/>
            <w:r w:rsidRPr="00AA1AEB">
              <w:rPr>
                <w:rFonts w:ascii="Arial" w:eastAsia="Times New Roman" w:hAnsi="Arial" w:cs="Arial"/>
                <w:sz w:val="24"/>
                <w:szCs w:val="24"/>
                <w:lang w:eastAsia="it-IT"/>
              </w:rPr>
              <w:t xml:space="preserve"> and </w:t>
            </w:r>
            <w:proofErr w:type="spellStart"/>
            <w:r w:rsidRPr="00AA1AEB">
              <w:rPr>
                <w:rFonts w:ascii="Arial" w:eastAsia="Times New Roman" w:hAnsi="Arial" w:cs="Arial"/>
                <w:sz w:val="24"/>
                <w:szCs w:val="24"/>
                <w:lang w:eastAsia="it-IT"/>
              </w:rPr>
              <w:t>Cities</w:t>
            </w:r>
            <w:proofErr w:type="spellEnd"/>
            <w:r w:rsidRPr="00AA1AEB">
              <w:rPr>
                <w:rFonts w:ascii="Arial" w:eastAsia="Times New Roman" w:hAnsi="Arial" w:cs="Arial"/>
                <w:sz w:val="24"/>
                <w:szCs w:val="24"/>
                <w:lang w:eastAsia="it-IT"/>
              </w:rPr>
              <w:t>”) organizzata dal Comitato delle regioni (CDR) e dalla Commissione europea (Direzione generale REGIO). L’edizione di quest’anno, a cui contribuiranno 187 regioni e città di 28 paesi raggruppati in 22 partenariati regionali, è titolata “Città e regioni per una crescita inclusiva e sostenibile” e prevede un programma di eventi in tre priorità tematiche: Crescita economica sostenuta e sostenibile; Crescita economica inclusiva; Rendere più semplici i Fondi strutturali e d’</w:t>
            </w:r>
            <w:proofErr w:type="spellStart"/>
            <w:r w:rsidRPr="00AA1AEB">
              <w:rPr>
                <w:rFonts w:ascii="Arial" w:eastAsia="Times New Roman" w:hAnsi="Arial" w:cs="Arial"/>
                <w:sz w:val="24"/>
                <w:szCs w:val="24"/>
                <w:lang w:eastAsia="it-IT"/>
              </w:rPr>
              <w:t>investimento.L</w:t>
            </w:r>
            <w:proofErr w:type="spellEnd"/>
            <w:r w:rsidRPr="00AA1AEB">
              <w:rPr>
                <w:rFonts w:ascii="Arial" w:eastAsia="Times New Roman" w:hAnsi="Arial" w:cs="Arial"/>
                <w:sz w:val="24"/>
                <w:szCs w:val="24"/>
                <w:lang w:eastAsia="it-IT"/>
              </w:rPr>
              <w:t>’iniziativa coinvolgerà gli attori interessati alla politica regionale e urbana(funzionari pubblici a livello locale, regionale, nazionale e europeo), esperti di settore, accademici, attori territoriali e cittadini. L’obiettivo è scambiare pratiche di successo in campo ambientale e competenze tecniche in materia di sviluppo regionale e urbano. Le iscrizioni online sono aperte fino al 26 settembre al seguente link: </w:t>
            </w:r>
            <w:hyperlink r:id="rId51" w:tgtFrame="_blank" w:history="1">
              <w:r w:rsidRPr="00AA1AEB">
                <w:rPr>
                  <w:rFonts w:ascii="Arial" w:eastAsia="Times New Roman" w:hAnsi="Arial" w:cs="Arial"/>
                  <w:color w:val="1155CC"/>
                  <w:sz w:val="24"/>
                  <w:szCs w:val="24"/>
                  <w:u w:val="single"/>
                  <w:lang w:eastAsia="it-IT"/>
                </w:rPr>
                <w:t>http://ec.europa.eu/regional_policy/regions-and-cities/2016/register.cfm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Link al programma: </w:t>
            </w:r>
            <w:hyperlink r:id="rId52" w:tgtFrame="_blank" w:history="1">
              <w:r w:rsidRPr="00AA1AEB">
                <w:rPr>
                  <w:rFonts w:ascii="Arial" w:eastAsia="Times New Roman" w:hAnsi="Arial" w:cs="Arial"/>
                  <w:color w:val="1155CC"/>
                  <w:sz w:val="24"/>
                  <w:szCs w:val="24"/>
                  <w:u w:val="single"/>
                  <w:lang w:eastAsia="it-IT"/>
                </w:rPr>
                <w:t>http://ec.europa.eu/regional_policy/regions-and-cities/reports/programme_full_2016.cfm</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color w:val="0000FF"/>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POLITICA REGIONALE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Politica regionale, Programma ‘Azioni urbane innovative’: a novembre previsto lancio nuovo invito a presentare proposte. </w:t>
            </w:r>
            <w:r w:rsidRPr="00AA1AEB">
              <w:rPr>
                <w:rFonts w:ascii="Arial" w:eastAsia="Times New Roman" w:hAnsi="Arial" w:cs="Arial"/>
                <w:sz w:val="24"/>
                <w:szCs w:val="24"/>
                <w:lang w:eastAsia="it-IT"/>
              </w:rPr>
              <w:t>Dal 10 al 13 ottobre a Bruxelles si terrà il workshop sull’iniziativa “</w:t>
            </w:r>
            <w:proofErr w:type="spellStart"/>
            <w:r w:rsidRPr="00AA1AEB">
              <w:rPr>
                <w:rFonts w:ascii="Arial" w:eastAsia="Times New Roman" w:hAnsi="Arial" w:cs="Arial"/>
                <w:b/>
                <w:bCs/>
                <w:sz w:val="24"/>
                <w:szCs w:val="24"/>
                <w:lang w:eastAsia="it-IT"/>
              </w:rPr>
              <w:t>Urban</w:t>
            </w:r>
            <w:proofErr w:type="spellEnd"/>
            <w:r w:rsidRPr="00AA1AEB">
              <w:rPr>
                <w:rFonts w:ascii="Arial" w:eastAsia="Times New Roman" w:hAnsi="Arial" w:cs="Arial"/>
                <w:b/>
                <w:bCs/>
                <w:sz w:val="24"/>
                <w:szCs w:val="24"/>
                <w:lang w:eastAsia="it-IT"/>
              </w:rPr>
              <w:t xml:space="preserve"> Innovative </w:t>
            </w:r>
            <w:proofErr w:type="spellStart"/>
            <w:r w:rsidRPr="00AA1AEB">
              <w:rPr>
                <w:rFonts w:ascii="Arial" w:eastAsia="Times New Roman" w:hAnsi="Arial" w:cs="Arial"/>
                <w:b/>
                <w:bCs/>
                <w:sz w:val="24"/>
                <w:szCs w:val="24"/>
                <w:lang w:eastAsia="it-IT"/>
              </w:rPr>
              <w:t>Actions</w:t>
            </w:r>
            <w:proofErr w:type="spellEnd"/>
            <w:r w:rsidRPr="00AA1AEB">
              <w:rPr>
                <w:rFonts w:ascii="Arial" w:eastAsia="Times New Roman" w:hAnsi="Arial" w:cs="Arial"/>
                <w:sz w:val="24"/>
                <w:szCs w:val="24"/>
                <w:lang w:eastAsia="it-IT"/>
              </w:rPr>
              <w:t>” (</w:t>
            </w:r>
            <w:hyperlink r:id="rId53" w:tgtFrame="_blank" w:history="1">
              <w:r w:rsidRPr="00AA1AEB">
                <w:rPr>
                  <w:rFonts w:ascii="Arial" w:eastAsia="Times New Roman" w:hAnsi="Arial" w:cs="Arial"/>
                  <w:color w:val="1155CC"/>
                  <w:sz w:val="24"/>
                  <w:szCs w:val="24"/>
                  <w:u w:val="single"/>
                  <w:lang w:eastAsia="it-IT"/>
                </w:rPr>
                <w:t>UIA</w:t>
              </w:r>
            </w:hyperlink>
            <w:r w:rsidRPr="00AA1AEB">
              <w:rPr>
                <w:rFonts w:ascii="Arial" w:eastAsia="Times New Roman" w:hAnsi="Arial" w:cs="Arial"/>
                <w:sz w:val="24"/>
                <w:szCs w:val="24"/>
                <w:lang w:eastAsia="it-IT"/>
              </w:rPr>
              <w:t>), durante l’iniziativa annuale OPEN DAYS, volto a individuare e a concretizzare nuove soluzioni per far fronte alle sfide relative allo sviluppo urbano sostenibile. Il programma è stato lanciato dalla Commissione Europea con uno stanziamento totale di 372 milioni di euro per la programmazione 2014-2020. Il secondo invito a presentare proposte sarà lanciato nel mese di novembre 2016 e sarà incentrato su 3 azioni tematiche selezionate dalla Commissione europea: </w:t>
            </w:r>
            <w:r w:rsidRPr="00AA1AEB">
              <w:rPr>
                <w:rFonts w:ascii="Arial" w:eastAsia="Times New Roman" w:hAnsi="Arial" w:cs="Arial"/>
                <w:i/>
                <w:iCs/>
                <w:sz w:val="24"/>
                <w:szCs w:val="24"/>
                <w:lang w:eastAsia="it-IT"/>
              </w:rPr>
              <w:t>a. Mobilità sostenibile urbana; b. Economia circolare;</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i/>
                <w:iCs/>
                <w:sz w:val="24"/>
                <w:szCs w:val="24"/>
                <w:lang w:eastAsia="it-IT"/>
              </w:rPr>
              <w:t>c. Integrazione dei migranti e dei rifugiati.</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Nel mese di settembre 2016 saranno pubblicate sul sito ufficiale le linee guida del bando al link: </w:t>
            </w:r>
            <w:hyperlink r:id="rId54" w:tgtFrame="_blank" w:history="1">
              <w:r w:rsidRPr="00AA1AEB">
                <w:rPr>
                  <w:rFonts w:ascii="Arial" w:eastAsia="Times New Roman" w:hAnsi="Arial" w:cs="Arial"/>
                  <w:color w:val="1155CC"/>
                  <w:sz w:val="24"/>
                  <w:szCs w:val="24"/>
                  <w:u w:val="single"/>
                  <w:lang w:eastAsia="it-IT"/>
                </w:rPr>
                <w:t>http://www.uia-initiative.eu/</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POLITICA REGIONALE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Politica regionale, Premio europeo </w:t>
            </w:r>
            <w:proofErr w:type="spellStart"/>
            <w:r w:rsidRPr="00AA1AEB">
              <w:rPr>
                <w:rFonts w:ascii="Arial" w:eastAsia="Times New Roman" w:hAnsi="Arial" w:cs="Arial"/>
                <w:b/>
                <w:bCs/>
                <w:sz w:val="24"/>
                <w:szCs w:val="24"/>
                <w:lang w:eastAsia="it-IT"/>
              </w:rPr>
              <w:t>RegioStars</w:t>
            </w:r>
            <w:proofErr w:type="spellEnd"/>
            <w:r w:rsidRPr="00AA1AEB">
              <w:rPr>
                <w:rFonts w:ascii="Arial" w:eastAsia="Times New Roman" w:hAnsi="Arial" w:cs="Arial"/>
                <w:b/>
                <w:bCs/>
                <w:sz w:val="24"/>
                <w:szCs w:val="24"/>
                <w:lang w:eastAsia="it-IT"/>
              </w:rPr>
              <w:t xml:space="preserve"> 2016: selezionati 23 </w:t>
            </w:r>
            <w:proofErr w:type="spellStart"/>
            <w:r w:rsidRPr="00AA1AEB">
              <w:rPr>
                <w:rFonts w:ascii="Arial" w:eastAsia="Times New Roman" w:hAnsi="Arial" w:cs="Arial"/>
                <w:b/>
                <w:bCs/>
                <w:sz w:val="24"/>
                <w:szCs w:val="24"/>
                <w:lang w:eastAsia="it-IT"/>
              </w:rPr>
              <w:t>finalisti.</w:t>
            </w:r>
            <w:r w:rsidRPr="00AA1AEB">
              <w:rPr>
                <w:rFonts w:ascii="Arial" w:eastAsia="Times New Roman" w:hAnsi="Arial" w:cs="Arial"/>
                <w:sz w:val="24"/>
                <w:szCs w:val="24"/>
                <w:lang w:eastAsia="it-IT"/>
              </w:rPr>
              <w:t>La</w:t>
            </w:r>
            <w:proofErr w:type="spellEnd"/>
            <w:r w:rsidRPr="00AA1AEB">
              <w:rPr>
                <w:rFonts w:ascii="Arial" w:eastAsia="Times New Roman" w:hAnsi="Arial" w:cs="Arial"/>
                <w:sz w:val="24"/>
                <w:szCs w:val="24"/>
                <w:lang w:eastAsia="it-IT"/>
              </w:rPr>
              <w:t xml:space="preserve"> Commissione ha annunciato i finalisti del concorso </w:t>
            </w:r>
            <w:proofErr w:type="spellStart"/>
            <w:r w:rsidRPr="00AA1AEB">
              <w:rPr>
                <w:rFonts w:ascii="Arial" w:eastAsia="Times New Roman" w:hAnsi="Arial" w:cs="Arial"/>
                <w:sz w:val="24"/>
                <w:szCs w:val="24"/>
                <w:lang w:eastAsia="it-IT"/>
              </w:rPr>
              <w:t>RegioStars</w:t>
            </w:r>
            <w:proofErr w:type="spellEnd"/>
            <w:r w:rsidRPr="00AA1AEB">
              <w:rPr>
                <w:rFonts w:ascii="Arial" w:eastAsia="Times New Roman" w:hAnsi="Arial" w:cs="Arial"/>
                <w:sz w:val="24"/>
                <w:szCs w:val="24"/>
                <w:lang w:eastAsia="it-IT"/>
              </w:rPr>
              <w:t xml:space="preserve"> 2016, che premia i progetti europei più significativi e innovativi che hanno ricevuto il sostegno dei fondi della politica di coesione. I vincitori saranno </w:t>
            </w:r>
            <w:r w:rsidRPr="00AA1AEB">
              <w:rPr>
                <w:rFonts w:ascii="Arial" w:eastAsia="Times New Roman" w:hAnsi="Arial" w:cs="Arial"/>
                <w:sz w:val="24"/>
                <w:szCs w:val="24"/>
                <w:lang w:eastAsia="it-IT"/>
              </w:rPr>
              <w:lastRenderedPageBreak/>
              <w:t xml:space="preserve">annunciati in occasione della cerimonia del premio </w:t>
            </w:r>
            <w:proofErr w:type="spellStart"/>
            <w:r w:rsidRPr="00AA1AEB">
              <w:rPr>
                <w:rFonts w:ascii="Arial" w:eastAsia="Times New Roman" w:hAnsi="Arial" w:cs="Arial"/>
                <w:sz w:val="24"/>
                <w:szCs w:val="24"/>
                <w:lang w:eastAsia="it-IT"/>
              </w:rPr>
              <w:t>RegioStars</w:t>
            </w:r>
            <w:proofErr w:type="spellEnd"/>
            <w:r w:rsidRPr="00AA1AEB">
              <w:rPr>
                <w:rFonts w:ascii="Arial" w:eastAsia="Times New Roman" w:hAnsi="Arial" w:cs="Arial"/>
                <w:sz w:val="24"/>
                <w:szCs w:val="24"/>
                <w:lang w:eastAsia="it-IT"/>
              </w:rPr>
              <w:t xml:space="preserve"> 2016, che si terrà l'11 ottobre a Bruxelles, durante la </w:t>
            </w:r>
            <w:hyperlink r:id="rId55" w:tgtFrame="_blank" w:history="1">
              <w:r w:rsidRPr="00AA1AEB">
                <w:rPr>
                  <w:rFonts w:ascii="Arial" w:eastAsia="Times New Roman" w:hAnsi="Arial" w:cs="Arial"/>
                  <w:color w:val="1155CC"/>
                  <w:sz w:val="24"/>
                  <w:szCs w:val="24"/>
                  <w:u w:val="single"/>
                  <w:lang w:eastAsia="it-IT"/>
                </w:rPr>
                <w:t>settimana europea delle regioni e delle città</w:t>
              </w:r>
            </w:hyperlink>
            <w:r w:rsidRPr="00AA1AEB">
              <w:rPr>
                <w:rFonts w:ascii="Arial" w:eastAsia="Times New Roman" w:hAnsi="Arial" w:cs="Arial"/>
                <w:sz w:val="24"/>
                <w:szCs w:val="24"/>
                <w:lang w:eastAsia="it-IT"/>
              </w:rPr>
              <w:t>. I 23 finalisti (tra cui 4 italiani) provengono da  14 Stati membri e sono stati selezionati sulla base di quattro criteri: innovazione, impatto, sostenibilità e partnership. Link ai finalisti:</w:t>
            </w:r>
            <w:hyperlink r:id="rId56" w:tgtFrame="_blank" w:history="1">
              <w:r w:rsidRPr="00AA1AEB">
                <w:rPr>
                  <w:rFonts w:ascii="Arial" w:eastAsia="Times New Roman" w:hAnsi="Arial" w:cs="Arial"/>
                  <w:color w:val="1155CC"/>
                  <w:sz w:val="24"/>
                  <w:szCs w:val="24"/>
                  <w:u w:val="single"/>
                  <w:lang w:eastAsia="it-IT"/>
                </w:rPr>
                <w:t>http://ec.europa.eu/regional_policy/en/regio-stars-awards/</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RELAZIONI ESTERNE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val="en-US" w:eastAsia="it-IT"/>
              </w:rPr>
            </w:pPr>
            <w:r w:rsidRPr="00AA1AEB">
              <w:rPr>
                <w:rFonts w:ascii="Arial" w:eastAsia="Times New Roman" w:hAnsi="Arial" w:cs="Arial"/>
                <w:b/>
                <w:bCs/>
                <w:sz w:val="24"/>
                <w:szCs w:val="24"/>
                <w:lang w:eastAsia="it-IT"/>
              </w:rPr>
              <w:t xml:space="preserve">Relazioni esterne, nuova strategia </w:t>
            </w:r>
            <w:proofErr w:type="spellStart"/>
            <w:r w:rsidRPr="00AA1AEB">
              <w:rPr>
                <w:rFonts w:ascii="Arial" w:eastAsia="Times New Roman" w:hAnsi="Arial" w:cs="Arial"/>
                <w:b/>
                <w:bCs/>
                <w:sz w:val="24"/>
                <w:szCs w:val="24"/>
                <w:lang w:eastAsia="it-IT"/>
              </w:rPr>
              <w:t>Ue-Cina</w:t>
            </w:r>
            <w:proofErr w:type="spellEnd"/>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La Commissione europea e l'Alto rappresentante dell'UE per gli affari esteri e la politica di sicurezza hanno adottato una comunicazione congiunta, dal titolo "Elementi per una nuova strategia dell'UE sulla Cina", che delinea le relazioni dell'Unione europea con la Cina per i prossimi cinque anni. La comunicazione punta a creare occupazione e crescita in Europa e a promuovere attivamente una maggiore apertura del mercato cinese alle imprese europee. Rientrano fra queste opportunità la conclusione di un accordo globale sugli investimenti, un contributo della Cina al piano di investimenti per l’Europa, le attività congiunte nel campo della ricerca e dell'innovazione e il collegamento con il continente eurasiatico attraverso una rete fisica e digitale che consenta i flussi commerciali e di investimento e i contatti fra le persone. Il documento evidenzia inoltre diverse possibilità per intensificare la cooperazione e il partenariato tra l'UE e la Cina nell'ambito della politica estera e di sicurezza. La comunicazione congiunta sarà presentata al Consiglio e al Parlamento europeo per l’approvazione. </w:t>
            </w:r>
            <w:proofErr w:type="spellStart"/>
            <w:r w:rsidRPr="00AA1AEB">
              <w:rPr>
                <w:rFonts w:ascii="Arial" w:eastAsia="Times New Roman" w:hAnsi="Arial" w:cs="Arial"/>
                <w:sz w:val="24"/>
                <w:szCs w:val="24"/>
                <w:lang w:val="en-US" w:eastAsia="it-IT"/>
              </w:rPr>
              <w:t>Comunicazione</w:t>
            </w:r>
            <w:proofErr w:type="spellEnd"/>
            <w:r w:rsidRPr="00AA1AEB">
              <w:rPr>
                <w:rFonts w:ascii="Arial" w:eastAsia="Times New Roman" w:hAnsi="Arial" w:cs="Arial"/>
                <w:sz w:val="24"/>
                <w:szCs w:val="24"/>
                <w:lang w:val="en-US" w:eastAsia="it-IT"/>
              </w:rPr>
              <w:t>:</w:t>
            </w:r>
          </w:p>
          <w:p w:rsidR="00AA1AEB" w:rsidRPr="00AA1AEB" w:rsidRDefault="00AA1AEB" w:rsidP="00AA1AEB">
            <w:pPr>
              <w:spacing w:after="0" w:afterAutospacing="0"/>
              <w:jc w:val="both"/>
              <w:rPr>
                <w:rFonts w:ascii="Arial" w:eastAsia="Times New Roman" w:hAnsi="Arial" w:cs="Arial"/>
                <w:sz w:val="24"/>
                <w:szCs w:val="24"/>
                <w:lang w:val="en-US" w:eastAsia="it-IT"/>
              </w:rPr>
            </w:pPr>
            <w:hyperlink r:id="rId57" w:tgtFrame="_blank" w:history="1">
              <w:r w:rsidRPr="00AA1AEB">
                <w:rPr>
                  <w:rFonts w:ascii="Arial" w:eastAsia="Times New Roman" w:hAnsi="Arial" w:cs="Arial"/>
                  <w:color w:val="1155CC"/>
                  <w:sz w:val="24"/>
                  <w:szCs w:val="24"/>
                  <w:u w:val="single"/>
                  <w:lang w:val="en-US" w:eastAsia="it-IT"/>
                </w:rPr>
                <w:t>http://eeas.europa.eu/china/docs/joint_communication_to_the_european_parliament_and_the_council_- elements_for_a_new_eu_strategy_on_china.pdf</w:t>
              </w:r>
            </w:hyperlink>
          </w:p>
          <w:p w:rsidR="00AA1AEB" w:rsidRPr="00AA1AEB" w:rsidRDefault="00AA1AEB" w:rsidP="00AA1AEB">
            <w:pPr>
              <w:spacing w:after="0" w:afterAutospacing="0"/>
              <w:jc w:val="both"/>
              <w:rPr>
                <w:rFonts w:ascii="Arial" w:eastAsia="Times New Roman" w:hAnsi="Arial" w:cs="Arial"/>
                <w:sz w:val="24"/>
                <w:szCs w:val="24"/>
                <w:lang w:eastAsia="it-IT"/>
              </w:rPr>
            </w:pPr>
            <w:hyperlink r:id="rId58" w:tgtFrame="_blank" w:history="1">
              <w:r w:rsidRPr="00AA1AEB">
                <w:rPr>
                  <w:rFonts w:ascii="Arial" w:eastAsia="Times New Roman" w:hAnsi="Arial" w:cs="Arial"/>
                  <w:color w:val="1155CC"/>
                  <w:sz w:val="24"/>
                  <w:szCs w:val="24"/>
                  <w:u w:val="single"/>
                  <w:lang w:eastAsia="it-IT"/>
                </w:rPr>
                <w:t>Comunicato stampa</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RICERCA</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(In primo piano)</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Ricerca, CER stanzia 485 MLN a 325 ricercatori.</w:t>
            </w:r>
            <w:r w:rsidRPr="00AA1AEB">
              <w:rPr>
                <w:rFonts w:ascii="Arial" w:eastAsia="Times New Roman" w:hAnsi="Arial" w:cs="Arial"/>
                <w:sz w:val="24"/>
                <w:szCs w:val="24"/>
                <w:lang w:eastAsia="it-IT"/>
              </w:rPr>
              <w:t> Il Consiglio europeo della ricerca (CER) dell'UE ha annunciato che erogherà 485 milioni di finanziamenti a 325 ricercatori all'inizio della carriera. L’obiettivo è aiutare i ricercatori a istituire i loro gruppi di ricerca e di sviluppare le idee innovative. La ricerca finanziata copre una vasta gamma di ambiti, dalle scienze fisiche e l'ingegneria alle scienze naturali, sociali e umanistiche. Le sovvenzioni sono erogate nel quadro del pilastro 'eccellenza scientifica' di </w:t>
            </w:r>
            <w:hyperlink r:id="rId59" w:tgtFrame="_blank" w:history="1">
              <w:r w:rsidRPr="00AA1AEB">
                <w:rPr>
                  <w:rFonts w:ascii="Arial" w:eastAsia="Times New Roman" w:hAnsi="Arial" w:cs="Arial"/>
                  <w:color w:val="1155CC"/>
                  <w:sz w:val="24"/>
                  <w:szCs w:val="24"/>
                  <w:u w:val="single"/>
                  <w:lang w:eastAsia="it-IT"/>
                </w:rPr>
                <w:t>Orizzonte 2020</w:t>
              </w:r>
            </w:hyperlink>
            <w:r w:rsidRPr="00AA1AEB">
              <w:rPr>
                <w:rFonts w:ascii="Arial" w:eastAsia="Times New Roman" w:hAnsi="Arial" w:cs="Arial"/>
                <w:sz w:val="24"/>
                <w:szCs w:val="24"/>
                <w:lang w:eastAsia="it-IT"/>
              </w:rPr>
              <w:t>, il programma di ricerca e innovazione dell'UE. Comunicato stampa: </w:t>
            </w:r>
            <w:hyperlink r:id="rId60" w:tgtFrame="_blank" w:history="1">
              <w:r w:rsidRPr="00AA1AEB">
                <w:rPr>
                  <w:rFonts w:ascii="Arial" w:eastAsia="Times New Roman" w:hAnsi="Arial" w:cs="Arial"/>
                  <w:color w:val="1155CC"/>
                  <w:sz w:val="24"/>
                  <w:szCs w:val="24"/>
                  <w:u w:val="single"/>
                  <w:lang w:eastAsia="it-IT"/>
                </w:rPr>
                <w:t>https://erc.europa.eu/sites/default/files/press_release/files/erc_press_release_stg2016_results.pdf</w:t>
              </w:r>
            </w:hyperlink>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sz w:val="24"/>
                <w:szCs w:val="24"/>
                <w:lang w:eastAsia="it-IT"/>
              </w:rPr>
              <w:t> </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RICERCA</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 </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Ricerca, Consiglio europeo della ricerca annuncia bandi 2017: bilancio record con 1,8 milioni di euro. </w:t>
            </w:r>
            <w:r w:rsidRPr="00AA1AEB">
              <w:rPr>
                <w:rFonts w:ascii="Arial" w:eastAsia="Times New Roman" w:hAnsi="Arial" w:cs="Arial"/>
                <w:sz w:val="24"/>
                <w:szCs w:val="24"/>
                <w:lang w:eastAsia="it-IT"/>
              </w:rPr>
              <w:t xml:space="preserve">Il Consiglio europeo della ricerca (CER) ha annunciato  i nuovi bandi per le sovvenzioni 2017 che prevedono un bilancio totale di circa 1,8 miliardi di euro, l'importo più </w:t>
            </w:r>
            <w:r w:rsidRPr="00AA1AEB">
              <w:rPr>
                <w:rFonts w:ascii="Arial" w:eastAsia="Times New Roman" w:hAnsi="Arial" w:cs="Arial"/>
                <w:sz w:val="24"/>
                <w:szCs w:val="24"/>
                <w:lang w:eastAsia="it-IT"/>
              </w:rPr>
              <w:lastRenderedPageBreak/>
              <w:t>elevato dalla sua istituzione nel 2007. L'anno prossimo, secondo il CER, circa 1.070 nuovi beneficiari otterranno finanziamenti nel quadro di tutte le sovvenzioni disponibili. Tali sovvenzioni daranno lavoro ad ulteriori 6.500 dottorandi, giovani ricercatori e altri membri dei rispettivi gruppi di ricerca. È previsto anche un finanziamento annuale record destinato ai giovani ricercatori con un'esperienza post-dottorato dai due ai sette anni (sovvenzioni "</w:t>
            </w:r>
            <w:proofErr w:type="spellStart"/>
            <w:r w:rsidRPr="00AA1AEB">
              <w:rPr>
                <w:rFonts w:ascii="Arial" w:eastAsia="Times New Roman" w:hAnsi="Arial" w:cs="Arial"/>
                <w:sz w:val="24"/>
                <w:szCs w:val="24"/>
                <w:lang w:eastAsia="it-IT"/>
              </w:rPr>
              <w:t>starting</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grants</w:t>
            </w:r>
            <w:proofErr w:type="spellEnd"/>
            <w:r w:rsidRPr="00AA1AEB">
              <w:rPr>
                <w:rFonts w:ascii="Arial" w:eastAsia="Times New Roman" w:hAnsi="Arial" w:cs="Arial"/>
                <w:sz w:val="24"/>
                <w:szCs w:val="24"/>
                <w:lang w:eastAsia="it-IT"/>
              </w:rPr>
              <w:t>").  Il bando per le sovvenzioni "</w:t>
            </w:r>
            <w:proofErr w:type="spellStart"/>
            <w:r w:rsidRPr="00AA1AEB">
              <w:rPr>
                <w:rFonts w:ascii="Arial" w:eastAsia="Times New Roman" w:hAnsi="Arial" w:cs="Arial"/>
                <w:sz w:val="24"/>
                <w:szCs w:val="24"/>
                <w:lang w:eastAsia="it-IT"/>
              </w:rPr>
              <w:t>starting</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grants</w:t>
            </w:r>
            <w:proofErr w:type="spellEnd"/>
            <w:r w:rsidRPr="00AA1AEB">
              <w:rPr>
                <w:rFonts w:ascii="Arial" w:eastAsia="Times New Roman" w:hAnsi="Arial" w:cs="Arial"/>
                <w:sz w:val="24"/>
                <w:szCs w:val="24"/>
                <w:lang w:eastAsia="it-IT"/>
              </w:rPr>
              <w:t>" 2017 si chiuderà il 18 ottobre mentre quello per le sovvenzioni "</w:t>
            </w:r>
            <w:proofErr w:type="spellStart"/>
            <w:r w:rsidRPr="00AA1AEB">
              <w:rPr>
                <w:rFonts w:ascii="Arial" w:eastAsia="Times New Roman" w:hAnsi="Arial" w:cs="Arial"/>
                <w:sz w:val="24"/>
                <w:szCs w:val="24"/>
                <w:lang w:eastAsia="it-IT"/>
              </w:rPr>
              <w:t>consolidator</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grants</w:t>
            </w:r>
            <w:proofErr w:type="spellEnd"/>
            <w:r w:rsidRPr="00AA1AEB">
              <w:rPr>
                <w:rFonts w:ascii="Arial" w:eastAsia="Times New Roman" w:hAnsi="Arial" w:cs="Arial"/>
                <w:sz w:val="24"/>
                <w:szCs w:val="24"/>
                <w:lang w:eastAsia="it-IT"/>
              </w:rPr>
              <w:t xml:space="preserve">" sarà aperto il 20 ottobre 2016 e si chiuderà il 9 febbraio 2017. Link </w:t>
            </w:r>
            <w:proofErr w:type="spellStart"/>
            <w:r w:rsidRPr="00AA1AEB">
              <w:rPr>
                <w:rFonts w:ascii="Arial" w:eastAsia="Times New Roman" w:hAnsi="Arial" w:cs="Arial"/>
                <w:sz w:val="24"/>
                <w:szCs w:val="24"/>
                <w:lang w:eastAsia="it-IT"/>
              </w:rPr>
              <w:t>al</w:t>
            </w:r>
            <w:hyperlink r:id="rId61" w:tgtFrame="_blank" w:history="1">
              <w:r w:rsidRPr="00AA1AEB">
                <w:rPr>
                  <w:rFonts w:ascii="Arial" w:eastAsia="Times New Roman" w:hAnsi="Arial" w:cs="Arial"/>
                  <w:color w:val="1155CC"/>
                  <w:sz w:val="24"/>
                  <w:szCs w:val="24"/>
                  <w:u w:val="single"/>
                  <w:lang w:eastAsia="it-IT"/>
                </w:rPr>
                <w:t>Programma</w:t>
              </w:r>
              <w:proofErr w:type="spellEnd"/>
              <w:r w:rsidRPr="00AA1AEB">
                <w:rPr>
                  <w:rFonts w:ascii="Arial" w:eastAsia="Times New Roman" w:hAnsi="Arial" w:cs="Arial"/>
                  <w:color w:val="1155CC"/>
                  <w:sz w:val="24"/>
                  <w:szCs w:val="24"/>
                  <w:u w:val="single"/>
                  <w:lang w:eastAsia="it-IT"/>
                </w:rPr>
                <w:t xml:space="preserve"> di lavoro 2017 del CER</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Comunicato stampa: </w:t>
            </w:r>
            <w:hyperlink r:id="rId62" w:tgtFrame="_blank" w:history="1">
              <w:r w:rsidRPr="00AA1AEB">
                <w:rPr>
                  <w:rFonts w:ascii="Arial" w:eastAsia="Times New Roman" w:hAnsi="Arial" w:cs="Arial"/>
                  <w:color w:val="1155CC"/>
                  <w:sz w:val="24"/>
                  <w:szCs w:val="24"/>
                  <w:u w:val="single"/>
                  <w:lang w:eastAsia="it-IT"/>
                </w:rPr>
                <w:t>https://ec.europa.eu/italy/node/3747_it</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val="en-US" w:eastAsia="it-IT"/>
              </w:rPr>
              <w:lastRenderedPageBreak/>
              <w:t>SANITA’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before="0" w:beforeAutospacing="0"/>
              <w:jc w:val="both"/>
              <w:outlineLvl w:val="2"/>
              <w:rPr>
                <w:rFonts w:ascii="Arial" w:eastAsia="Times New Roman" w:hAnsi="Arial" w:cs="Arial"/>
                <w:b/>
                <w:bCs/>
                <w:sz w:val="27"/>
                <w:szCs w:val="27"/>
                <w:lang w:eastAsia="it-IT"/>
              </w:rPr>
            </w:pPr>
            <w:r w:rsidRPr="00AA1AEB">
              <w:rPr>
                <w:rFonts w:ascii="Arial" w:eastAsia="Times New Roman" w:hAnsi="Arial" w:cs="Arial"/>
                <w:b/>
                <w:bCs/>
                <w:sz w:val="27"/>
                <w:szCs w:val="27"/>
                <w:lang w:eastAsia="it-IT"/>
              </w:rPr>
              <w:t>Sanità, Invecchiamento sano e attivo: pubblicata banca dati su buone pratiche innovative.  La Commissione europea ha pubblicato online l’archivio</w:t>
            </w:r>
            <w:r w:rsidRPr="00AA1AEB">
              <w:rPr>
                <w:rFonts w:ascii="Calibri" w:eastAsia="Times New Roman" w:hAnsi="Calibri" w:cs="Arial"/>
                <w:b/>
                <w:bCs/>
                <w:color w:val="151515"/>
                <w:sz w:val="27"/>
                <w:szCs w:val="27"/>
                <w:lang w:eastAsia="it-IT"/>
              </w:rPr>
              <w:t> </w:t>
            </w:r>
            <w:r w:rsidRPr="00AA1AEB">
              <w:rPr>
                <w:rFonts w:ascii="Calibri" w:eastAsia="Times New Roman" w:hAnsi="Calibri" w:cs="Arial"/>
                <w:color w:val="151515"/>
                <w:sz w:val="27"/>
                <w:szCs w:val="27"/>
                <w:lang w:eastAsia="it-IT"/>
              </w:rPr>
              <w:t>(</w:t>
            </w:r>
            <w:proofErr w:type="spellStart"/>
            <w:r w:rsidRPr="00AA1AEB">
              <w:rPr>
                <w:rFonts w:ascii="Calibri" w:eastAsia="Times New Roman" w:hAnsi="Calibri" w:cs="Arial"/>
                <w:color w:val="151515"/>
                <w:sz w:val="27"/>
                <w:szCs w:val="27"/>
                <w:lang w:eastAsia="it-IT"/>
              </w:rPr>
              <w:t>Repository</w:t>
            </w:r>
            <w:proofErr w:type="spellEnd"/>
            <w:r w:rsidRPr="00AA1AEB">
              <w:rPr>
                <w:rFonts w:ascii="Calibri" w:eastAsia="Times New Roman" w:hAnsi="Calibri" w:cs="Arial"/>
                <w:color w:val="151515"/>
                <w:sz w:val="27"/>
                <w:szCs w:val="27"/>
                <w:lang w:eastAsia="it-IT"/>
              </w:rPr>
              <w:t>)</w:t>
            </w:r>
            <w:r w:rsidRPr="00AA1AEB">
              <w:rPr>
                <w:rFonts w:ascii="Arial" w:eastAsia="Times New Roman" w:hAnsi="Arial" w:cs="Arial"/>
                <w:b/>
                <w:bCs/>
                <w:sz w:val="27"/>
                <w:szCs w:val="27"/>
                <w:lang w:eastAsia="it-IT"/>
              </w:rPr>
              <w:t>, delle buone pratiche innovative sull’invecchiamento sano e attivo. L’archivio è disponibile sul portale EIP-AHA (</w:t>
            </w:r>
            <w:hyperlink r:id="rId63" w:tgtFrame="_blank" w:history="1">
              <w:r w:rsidRPr="00AA1AEB">
                <w:rPr>
                  <w:rFonts w:ascii="Arial" w:eastAsia="Times New Roman" w:hAnsi="Arial" w:cs="Arial"/>
                  <w:b/>
                  <w:bCs/>
                  <w:color w:val="0000FF"/>
                  <w:sz w:val="27"/>
                  <w:szCs w:val="27"/>
                  <w:u w:val="single"/>
                  <w:lang w:eastAsia="it-IT"/>
                </w:rPr>
                <w:t>European Innovation Partnerships</w:t>
              </w:r>
            </w:hyperlink>
            <w:r w:rsidRPr="00AA1AEB">
              <w:rPr>
                <w:rFonts w:ascii="Arial" w:eastAsia="Times New Roman" w:hAnsi="Arial" w:cs="Arial"/>
                <w:b/>
                <w:bCs/>
                <w:sz w:val="27"/>
                <w:szCs w:val="27"/>
                <w:lang w:eastAsia="it-IT"/>
              </w:rPr>
              <w:t xml:space="preserve"> on </w:t>
            </w:r>
            <w:proofErr w:type="spellStart"/>
            <w:r w:rsidRPr="00AA1AEB">
              <w:rPr>
                <w:rFonts w:ascii="Arial" w:eastAsia="Times New Roman" w:hAnsi="Arial" w:cs="Arial"/>
                <w:b/>
                <w:bCs/>
                <w:sz w:val="27"/>
                <w:szCs w:val="27"/>
                <w:lang w:eastAsia="it-IT"/>
              </w:rPr>
              <w:t>Active</w:t>
            </w:r>
            <w:proofErr w:type="spellEnd"/>
            <w:r w:rsidRPr="00AA1AEB">
              <w:rPr>
                <w:rFonts w:ascii="Arial" w:eastAsia="Times New Roman" w:hAnsi="Arial" w:cs="Arial"/>
                <w:b/>
                <w:bCs/>
                <w:sz w:val="27"/>
                <w:szCs w:val="27"/>
                <w:lang w:eastAsia="it-IT"/>
              </w:rPr>
              <w:t xml:space="preserve"> and </w:t>
            </w:r>
            <w:proofErr w:type="spellStart"/>
            <w:r w:rsidRPr="00AA1AEB">
              <w:rPr>
                <w:rFonts w:ascii="Arial" w:eastAsia="Times New Roman" w:hAnsi="Arial" w:cs="Arial"/>
                <w:b/>
                <w:bCs/>
                <w:sz w:val="27"/>
                <w:szCs w:val="27"/>
                <w:lang w:eastAsia="it-IT"/>
              </w:rPr>
              <w:t>Healthy</w:t>
            </w:r>
            <w:proofErr w:type="spellEnd"/>
            <w:r w:rsidRPr="00AA1AEB">
              <w:rPr>
                <w:rFonts w:ascii="Arial" w:eastAsia="Times New Roman" w:hAnsi="Arial" w:cs="Arial"/>
                <w:b/>
                <w:bCs/>
                <w:sz w:val="27"/>
                <w:szCs w:val="27"/>
                <w:lang w:eastAsia="it-IT"/>
              </w:rPr>
              <w:t xml:space="preserve"> </w:t>
            </w:r>
            <w:proofErr w:type="spellStart"/>
            <w:r w:rsidRPr="00AA1AEB">
              <w:rPr>
                <w:rFonts w:ascii="Arial" w:eastAsia="Times New Roman" w:hAnsi="Arial" w:cs="Arial"/>
                <w:b/>
                <w:bCs/>
                <w:sz w:val="27"/>
                <w:szCs w:val="27"/>
                <w:lang w:eastAsia="it-IT"/>
              </w:rPr>
              <w:t>Ageing</w:t>
            </w:r>
            <w:proofErr w:type="spellEnd"/>
            <w:r w:rsidRPr="00AA1AEB">
              <w:rPr>
                <w:rFonts w:ascii="Arial" w:eastAsia="Times New Roman" w:hAnsi="Arial" w:cs="Arial"/>
                <w:b/>
                <w:bCs/>
                <w:sz w:val="27"/>
                <w:szCs w:val="27"/>
                <w:lang w:eastAsia="it-IT"/>
              </w:rPr>
              <w:t>) al link:  </w:t>
            </w:r>
            <w:hyperlink r:id="rId64" w:tgtFrame="_blank" w:history="1">
              <w:r w:rsidRPr="00AA1AEB">
                <w:rPr>
                  <w:rFonts w:ascii="Arial" w:eastAsia="Times New Roman" w:hAnsi="Arial" w:cs="Arial"/>
                  <w:b/>
                  <w:bCs/>
                  <w:color w:val="1155CC"/>
                  <w:sz w:val="27"/>
                  <w:szCs w:val="27"/>
                  <w:u w:val="single"/>
                  <w:lang w:eastAsia="it-IT"/>
                </w:rPr>
                <w:t>http://ec.europa.eu/research/innovation-union/index_en.cfm?section=active-healthy-ageing</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SANITA’</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before="0" w:beforeAutospacing="0"/>
              <w:jc w:val="both"/>
              <w:outlineLvl w:val="0"/>
              <w:rPr>
                <w:rFonts w:ascii="Arial" w:eastAsia="Times New Roman" w:hAnsi="Arial" w:cs="Arial"/>
                <w:b/>
                <w:bCs/>
                <w:kern w:val="36"/>
                <w:sz w:val="48"/>
                <w:szCs w:val="48"/>
                <w:lang w:eastAsia="it-IT"/>
              </w:rPr>
            </w:pPr>
            <w:r w:rsidRPr="00AA1AEB">
              <w:rPr>
                <w:rFonts w:ascii="Arial" w:eastAsia="Times New Roman" w:hAnsi="Arial" w:cs="Arial"/>
                <w:b/>
                <w:bCs/>
                <w:kern w:val="36"/>
                <w:sz w:val="48"/>
                <w:szCs w:val="48"/>
                <w:lang w:eastAsia="it-IT"/>
              </w:rPr>
              <w:t xml:space="preserve">Sanità, Commissione UE presenta misure per identificare criteri scientifici degli interferenti </w:t>
            </w:r>
            <w:proofErr w:type="spellStart"/>
            <w:r w:rsidRPr="00AA1AEB">
              <w:rPr>
                <w:rFonts w:ascii="Arial" w:eastAsia="Times New Roman" w:hAnsi="Arial" w:cs="Arial"/>
                <w:b/>
                <w:bCs/>
                <w:kern w:val="36"/>
                <w:sz w:val="48"/>
                <w:szCs w:val="48"/>
                <w:lang w:eastAsia="it-IT"/>
              </w:rPr>
              <w:t>endocrini.L</w:t>
            </w:r>
            <w:r w:rsidRPr="00AA1AEB">
              <w:rPr>
                <w:rFonts w:ascii="Calibri" w:eastAsia="Times New Roman" w:hAnsi="Calibri" w:cs="Arial"/>
                <w:kern w:val="36"/>
                <w:sz w:val="22"/>
                <w:lang w:eastAsia="it-IT"/>
              </w:rPr>
              <w:t>a</w:t>
            </w:r>
            <w:proofErr w:type="spellEnd"/>
            <w:r w:rsidRPr="00AA1AEB">
              <w:rPr>
                <w:rFonts w:ascii="Calibri" w:eastAsia="Times New Roman" w:hAnsi="Calibri" w:cs="Arial"/>
                <w:kern w:val="36"/>
                <w:sz w:val="22"/>
                <w:lang w:eastAsia="it-IT"/>
              </w:rPr>
              <w:t xml:space="preserve"> Commissione europea ha presentato </w:t>
            </w:r>
            <w:r w:rsidRPr="00AA1AEB">
              <w:rPr>
                <w:rFonts w:ascii="Arial" w:eastAsia="Times New Roman" w:hAnsi="Arial" w:cs="Arial"/>
                <w:b/>
                <w:bCs/>
                <w:kern w:val="36"/>
                <w:sz w:val="48"/>
                <w:szCs w:val="48"/>
                <w:lang w:eastAsia="it-IT"/>
              </w:rPr>
              <w:t>un pacchetto legislativo che comprende</w:t>
            </w:r>
            <w:r w:rsidRPr="00AA1AEB">
              <w:rPr>
                <w:rFonts w:ascii="Calibri" w:eastAsia="Times New Roman" w:hAnsi="Calibri" w:cs="Arial"/>
                <w:kern w:val="36"/>
                <w:sz w:val="22"/>
                <w:lang w:eastAsia="it-IT"/>
              </w:rPr>
              <w:t> i criteri per identificare gli interferenti endocrini nel campo dei prodotti fitosanitari e dei biocidi.</w:t>
            </w:r>
            <w:r w:rsidRPr="00AA1AEB">
              <w:rPr>
                <w:rFonts w:ascii="Arial" w:eastAsia="Times New Roman" w:hAnsi="Arial" w:cs="Arial"/>
                <w:b/>
                <w:bCs/>
                <w:kern w:val="36"/>
                <w:sz w:val="48"/>
                <w:szCs w:val="48"/>
                <w:lang w:eastAsia="it-IT"/>
              </w:rPr>
              <w:t> Gli interferenti endocrini sono sostanze, sia naturali sia chimiche, che possono alterare le funzioni del sistema ormonale e di conseguenza produrre effetti avversi sull'uomo o sugli animali. Il pacchetto  comprende:</w:t>
            </w:r>
          </w:p>
          <w:p w:rsidR="00AA1AEB" w:rsidRPr="00AA1AEB" w:rsidRDefault="00AA1AEB" w:rsidP="00AA1AEB">
            <w:pPr>
              <w:spacing w:before="0" w:beforeAutospacing="0"/>
              <w:jc w:val="both"/>
              <w:outlineLvl w:val="0"/>
              <w:rPr>
                <w:rFonts w:ascii="Arial" w:eastAsia="Times New Roman" w:hAnsi="Arial" w:cs="Arial"/>
                <w:b/>
                <w:bCs/>
                <w:kern w:val="36"/>
                <w:sz w:val="48"/>
                <w:szCs w:val="48"/>
                <w:lang w:eastAsia="it-IT"/>
              </w:rPr>
            </w:pPr>
            <w:r w:rsidRPr="00AA1AEB">
              <w:rPr>
                <w:rFonts w:ascii="Arial" w:eastAsia="Times New Roman" w:hAnsi="Arial" w:cs="Arial"/>
                <w:b/>
                <w:bCs/>
                <w:kern w:val="36"/>
                <w:sz w:val="48"/>
                <w:szCs w:val="48"/>
                <w:lang w:eastAsia="it-IT"/>
              </w:rPr>
              <w:lastRenderedPageBreak/>
              <w:t> -una comunicazione che definisce una serie di azioni a breve, medio e lungo termine per ridurre al minimo l'esposizione agli interferenti endocrini.</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una relazione sulla valutazione d'impatto che presenta lo stato attuale delle conoscenze scientifiche su questo tema;</w:t>
            </w:r>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due progetti di atti legislativi sui biocidi e sui prodotti fitosanitari che stabiliscono i criteri di identificazione degli interferenti endocrini. Comunicato stampa:</w:t>
            </w:r>
          </w:p>
          <w:p w:rsidR="00AA1AEB" w:rsidRPr="00AA1AEB" w:rsidRDefault="00AA1AEB" w:rsidP="00AA1AEB">
            <w:pPr>
              <w:shd w:val="clear" w:color="auto" w:fill="FFFFFF"/>
              <w:spacing w:after="0" w:afterAutospacing="0"/>
              <w:jc w:val="both"/>
              <w:rPr>
                <w:rFonts w:ascii="Arial" w:eastAsia="Times New Roman" w:hAnsi="Arial" w:cs="Arial"/>
                <w:sz w:val="24"/>
                <w:szCs w:val="24"/>
                <w:lang w:eastAsia="it-IT"/>
              </w:rPr>
            </w:pPr>
            <w:hyperlink r:id="rId65" w:tgtFrame="_blank" w:history="1">
              <w:r w:rsidRPr="00AA1AEB">
                <w:rPr>
                  <w:rFonts w:ascii="Arial" w:eastAsia="Times New Roman" w:hAnsi="Arial" w:cs="Arial"/>
                  <w:i/>
                  <w:iCs/>
                  <w:color w:val="0000FF"/>
                  <w:sz w:val="24"/>
                  <w:szCs w:val="24"/>
                  <w:u w:val="single"/>
                  <w:lang w:eastAsia="it-IT"/>
                </w:rPr>
                <w:t>http://ec.europa.eu/italy/news/2016/20160615_interferenti_endocrini_it.htm</w:t>
              </w:r>
            </w:hyperlink>
          </w:p>
          <w:p w:rsidR="00AA1AEB" w:rsidRPr="00AA1AEB" w:rsidRDefault="00AA1AEB" w:rsidP="00AA1AEB">
            <w:pPr>
              <w:shd w:val="clear" w:color="auto" w:fill="FFFFFF"/>
              <w:spacing w:after="0" w:afterAutospacing="0"/>
              <w:jc w:val="both"/>
              <w:rPr>
                <w:rFonts w:ascii="Arial" w:eastAsia="Times New Roman" w:hAnsi="Arial" w:cs="Arial"/>
                <w:sz w:val="24"/>
                <w:szCs w:val="24"/>
                <w:lang w:eastAsia="it-IT"/>
              </w:rPr>
            </w:pPr>
            <w:r w:rsidRPr="00AA1AEB">
              <w:rPr>
                <w:rFonts w:ascii="Arial" w:eastAsia="Times New Roman" w:hAnsi="Arial" w:cs="Arial"/>
                <w:b/>
                <w:bCs/>
                <w:i/>
                <w:i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SANITA’/IMPRESE</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(in primo piano)</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Sanità, Industria farmaceutica europea: annunciate priorità del nuovo bando IMI-2</w:t>
            </w:r>
            <w:r w:rsidRPr="00AA1AEB">
              <w:rPr>
                <w:rFonts w:ascii="Arial" w:eastAsia="Times New Roman" w:hAnsi="Arial" w:cs="Arial"/>
                <w:sz w:val="24"/>
                <w:szCs w:val="24"/>
                <w:lang w:eastAsia="it-IT"/>
              </w:rPr>
              <w:t>. Il partenariato pubblico-privato tra l</w:t>
            </w:r>
            <w:r w:rsidRPr="00AA1AEB">
              <w:rPr>
                <w:rFonts w:ascii="Arial" w:eastAsia="Times New Roman" w:hAnsi="Arial" w:cs="Arial"/>
                <w:b/>
                <w:bCs/>
                <w:sz w:val="24"/>
                <w:szCs w:val="24"/>
                <w:lang w:eastAsia="it-IT"/>
              </w:rPr>
              <w:t>’</w:t>
            </w:r>
            <w:r w:rsidRPr="00AA1AEB">
              <w:rPr>
                <w:rFonts w:ascii="Calibri" w:eastAsia="Times New Roman" w:hAnsi="Calibri" w:cs="Arial"/>
                <w:sz w:val="24"/>
                <w:szCs w:val="24"/>
                <w:lang w:eastAsia="it-IT"/>
              </w:rPr>
              <w:t>Unione Europea</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e l’</w:t>
            </w:r>
            <w:r w:rsidRPr="00AA1AEB">
              <w:rPr>
                <w:rFonts w:ascii="Calibri" w:eastAsia="Times New Roman" w:hAnsi="Calibri" w:cs="Arial"/>
                <w:sz w:val="24"/>
                <w:szCs w:val="24"/>
                <w:lang w:eastAsia="it-IT"/>
              </w:rPr>
              <w:t>industria farmaceutica europea </w:t>
            </w:r>
            <w:r w:rsidRPr="00AA1AEB">
              <w:rPr>
                <w:rFonts w:ascii="Arial" w:eastAsia="Times New Roman" w:hAnsi="Arial" w:cs="Arial"/>
                <w:sz w:val="24"/>
                <w:szCs w:val="24"/>
                <w:lang w:eastAsia="it-IT"/>
              </w:rPr>
              <w:t xml:space="preserve">(IMI, Innovative </w:t>
            </w:r>
            <w:proofErr w:type="spellStart"/>
            <w:r w:rsidRPr="00AA1AEB">
              <w:rPr>
                <w:rFonts w:ascii="Arial" w:eastAsia="Times New Roman" w:hAnsi="Arial" w:cs="Arial"/>
                <w:sz w:val="24"/>
                <w:szCs w:val="24"/>
                <w:lang w:eastAsia="it-IT"/>
              </w:rPr>
              <w:t>Medicines</w:t>
            </w:r>
            <w:proofErr w:type="spellEnd"/>
            <w:r w:rsidRPr="00AA1AEB">
              <w:rPr>
                <w:rFonts w:ascii="Arial" w:eastAsia="Times New Roman" w:hAnsi="Arial" w:cs="Arial"/>
                <w:sz w:val="24"/>
                <w:szCs w:val="24"/>
                <w:lang w:eastAsia="it-IT"/>
              </w:rPr>
              <w:t xml:space="preserve"> </w:t>
            </w:r>
            <w:proofErr w:type="spellStart"/>
            <w:r w:rsidRPr="00AA1AEB">
              <w:rPr>
                <w:rFonts w:ascii="Arial" w:eastAsia="Times New Roman" w:hAnsi="Arial" w:cs="Arial"/>
                <w:sz w:val="24"/>
                <w:szCs w:val="24"/>
                <w:lang w:eastAsia="it-IT"/>
              </w:rPr>
              <w:t>Initiative</w:t>
            </w:r>
            <w:proofErr w:type="spellEnd"/>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xml:space="preserve">, ha annunciato le priorità indicative del nuovo bando (IMI-2 </w:t>
            </w:r>
            <w:proofErr w:type="spellStart"/>
            <w:r w:rsidRPr="00AA1AEB">
              <w:rPr>
                <w:rFonts w:ascii="Arial" w:eastAsia="Times New Roman" w:hAnsi="Arial" w:cs="Arial"/>
                <w:sz w:val="24"/>
                <w:szCs w:val="24"/>
                <w:lang w:eastAsia="it-IT"/>
              </w:rPr>
              <w:t>Call</w:t>
            </w:r>
            <w:proofErr w:type="spellEnd"/>
            <w:r w:rsidRPr="00AA1AEB">
              <w:rPr>
                <w:rFonts w:ascii="Arial" w:eastAsia="Times New Roman" w:hAnsi="Arial" w:cs="Arial"/>
                <w:sz w:val="24"/>
                <w:szCs w:val="24"/>
                <w:lang w:eastAsia="it-IT"/>
              </w:rPr>
              <w:t xml:space="preserve"> 10). Le tematiche saranno presentate ufficialmente in occasione dell’</w:t>
            </w:r>
            <w:hyperlink r:id="rId66" w:tgtFrame="_blank" w:history="1">
              <w:r w:rsidRPr="00AA1AEB">
                <w:rPr>
                  <w:rFonts w:ascii="Arial" w:eastAsia="Times New Roman" w:hAnsi="Arial" w:cs="Arial"/>
                  <w:color w:val="1155CC"/>
                  <w:sz w:val="24"/>
                  <w:szCs w:val="24"/>
                  <w:u w:val="single"/>
                  <w:lang w:eastAsia="it-IT"/>
                </w:rPr>
                <w:t xml:space="preserve">IMI </w:t>
              </w:r>
              <w:proofErr w:type="spellStart"/>
              <w:r w:rsidRPr="00AA1AEB">
                <w:rPr>
                  <w:rFonts w:ascii="Arial" w:eastAsia="Times New Roman" w:hAnsi="Arial" w:cs="Arial"/>
                  <w:color w:val="1155CC"/>
                  <w:sz w:val="24"/>
                  <w:szCs w:val="24"/>
                  <w:u w:val="single"/>
                  <w:lang w:eastAsia="it-IT"/>
                </w:rPr>
                <w:t>Stakeholder</w:t>
              </w:r>
              <w:proofErr w:type="spellEnd"/>
              <w:r w:rsidRPr="00AA1AEB">
                <w:rPr>
                  <w:rFonts w:ascii="Arial" w:eastAsia="Times New Roman" w:hAnsi="Arial" w:cs="Arial"/>
                  <w:color w:val="1155CC"/>
                  <w:sz w:val="24"/>
                  <w:szCs w:val="24"/>
                  <w:u w:val="single"/>
                  <w:lang w:eastAsia="it-IT"/>
                </w:rPr>
                <w:t xml:space="preserve"> Forum</w:t>
              </w:r>
            </w:hyperlink>
            <w:r w:rsidRPr="00AA1AEB">
              <w:rPr>
                <w:rFonts w:ascii="Arial" w:eastAsia="Times New Roman" w:hAnsi="Arial" w:cs="Arial"/>
                <w:sz w:val="24"/>
                <w:szCs w:val="24"/>
                <w:lang w:eastAsia="it-IT"/>
              </w:rPr>
              <w:t> il 28 e 29 settembre a Bruxelles. Le priorità (attualmente in via di approvazione) includono lo studio approfondito dell’ipoglicemia, il supporto dei ‘big data’ a diagnosi e trattamenti del cancro alla prostata,  l’utilizzo delle medicine di precisione in pazienti affetti da autismo, la creazione di una rete europea di test clinici pediatrici, ecc. La lista completa è consultabile sul sito ufficiale di IMI:</w:t>
            </w:r>
          </w:p>
          <w:p w:rsidR="00AA1AEB" w:rsidRPr="00AA1AEB" w:rsidRDefault="00AA1AEB" w:rsidP="00AA1AEB">
            <w:pPr>
              <w:spacing w:after="0" w:afterAutospacing="0"/>
              <w:jc w:val="both"/>
              <w:rPr>
                <w:rFonts w:ascii="Arial" w:eastAsia="Times New Roman" w:hAnsi="Arial" w:cs="Arial"/>
                <w:sz w:val="24"/>
                <w:szCs w:val="24"/>
                <w:lang w:eastAsia="it-IT"/>
              </w:rPr>
            </w:pPr>
            <w:hyperlink r:id="rId67" w:tgtFrame="_blank" w:history="1">
              <w:r w:rsidRPr="00AA1AEB">
                <w:rPr>
                  <w:rFonts w:ascii="Arial" w:eastAsia="Times New Roman" w:hAnsi="Arial" w:cs="Arial"/>
                  <w:color w:val="1155CC"/>
                  <w:sz w:val="24"/>
                  <w:szCs w:val="24"/>
                  <w:u w:val="single"/>
                  <w:lang w:eastAsia="it-IT"/>
                </w:rPr>
                <w:t>http://www.imi.europa.eu/content/future-topics</w:t>
              </w:r>
            </w:hyperlink>
            <w:r w:rsidRPr="00AA1AEB">
              <w:rPr>
                <w:rFonts w:ascii="Arial" w:eastAsia="Times New Roman" w:hAnsi="Arial" w:cs="Arial"/>
                <w:sz w:val="24"/>
                <w:szCs w:val="24"/>
                <w:lang w:eastAsia="it-IT"/>
              </w:rPr>
              <w:t>. Si ricorda che </w:t>
            </w:r>
            <w:r w:rsidRPr="00AA1AEB">
              <w:rPr>
                <w:rFonts w:ascii="Calibri" w:eastAsia="Times New Roman" w:hAnsi="Calibri" w:cs="Arial"/>
                <w:sz w:val="24"/>
                <w:szCs w:val="24"/>
                <w:lang w:eastAsia="it-IT"/>
              </w:rPr>
              <w:t>IMI-2</w:t>
            </w:r>
            <w:r w:rsidRPr="00AA1AEB">
              <w:rPr>
                <w:rFonts w:ascii="Arial" w:eastAsia="Times New Roman" w:hAnsi="Arial" w:cs="Arial"/>
                <w:sz w:val="24"/>
                <w:szCs w:val="24"/>
                <w:lang w:eastAsia="it-IT"/>
              </w:rPr>
              <w:t> è un'Iniziativa Tecnologica Congiunta (ITC) che riunisce aziende, università, laboratori pubblici, PMI innovative e gruppi di pazienti. Ha un budget di </w:t>
            </w:r>
            <w:r w:rsidRPr="00AA1AEB">
              <w:rPr>
                <w:rFonts w:ascii="Calibri" w:eastAsia="Times New Roman" w:hAnsi="Calibri" w:cs="Arial"/>
                <w:b/>
                <w:bCs/>
                <w:sz w:val="24"/>
                <w:szCs w:val="24"/>
                <w:lang w:eastAsia="it-IT"/>
              </w:rPr>
              <w:t>3,3 miliardi</w:t>
            </w:r>
            <w:r w:rsidRPr="00AA1AEB">
              <w:rPr>
                <w:rFonts w:ascii="Arial" w:eastAsia="Times New Roman" w:hAnsi="Arial" w:cs="Arial"/>
                <w:sz w:val="24"/>
                <w:szCs w:val="24"/>
                <w:lang w:eastAsia="it-IT"/>
              </w:rPr>
              <w:t> per il periodo </w:t>
            </w:r>
            <w:r w:rsidRPr="00AA1AEB">
              <w:rPr>
                <w:rFonts w:ascii="Calibri" w:eastAsia="Times New Roman" w:hAnsi="Calibri" w:cs="Arial"/>
                <w:sz w:val="24"/>
                <w:szCs w:val="24"/>
                <w:lang w:eastAsia="it-IT"/>
              </w:rPr>
              <w:t>2014-2024</w:t>
            </w:r>
            <w:r w:rsidRPr="00AA1AEB">
              <w:rPr>
                <w:rFonts w:ascii="Arial" w:eastAsia="Times New Roman" w:hAnsi="Arial" w:cs="Arial"/>
                <w:b/>
                <w:bCs/>
                <w:sz w:val="24"/>
                <w:szCs w:val="24"/>
                <w:lang w:eastAsia="it-IT"/>
              </w:rPr>
              <w:t>.</w:t>
            </w:r>
            <w:r w:rsidRPr="00AA1AEB">
              <w:rPr>
                <w:rFonts w:ascii="Arial" w:eastAsia="Times New Roman" w:hAnsi="Arial" w:cs="Arial"/>
                <w:sz w:val="24"/>
                <w:szCs w:val="24"/>
                <w:lang w:eastAsia="it-IT"/>
              </w:rPr>
              <w:t> Metà di questo è stanziato dal </w:t>
            </w:r>
            <w:r w:rsidRPr="00AA1AEB">
              <w:rPr>
                <w:rFonts w:ascii="Calibri" w:eastAsia="Times New Roman" w:hAnsi="Calibri" w:cs="Arial"/>
                <w:sz w:val="24"/>
                <w:szCs w:val="24"/>
                <w:lang w:eastAsia="it-IT"/>
              </w:rPr>
              <w:t xml:space="preserve">programma </w:t>
            </w:r>
            <w:proofErr w:type="spellStart"/>
            <w:r w:rsidRPr="00AA1AEB">
              <w:rPr>
                <w:rFonts w:ascii="Calibri" w:eastAsia="Times New Roman" w:hAnsi="Calibri" w:cs="Arial"/>
                <w:sz w:val="24"/>
                <w:szCs w:val="24"/>
                <w:lang w:eastAsia="it-IT"/>
              </w:rPr>
              <w:t>Horizon</w:t>
            </w:r>
            <w:proofErr w:type="spellEnd"/>
            <w:r w:rsidRPr="00AA1AEB">
              <w:rPr>
                <w:rFonts w:ascii="Calibri" w:eastAsia="Times New Roman" w:hAnsi="Calibri" w:cs="Arial"/>
                <w:sz w:val="24"/>
                <w:szCs w:val="24"/>
                <w:lang w:eastAsia="it-IT"/>
              </w:rPr>
              <w:t xml:space="preserve"> 2020</w:t>
            </w:r>
            <w:r w:rsidRPr="00AA1AEB">
              <w:rPr>
                <w:rFonts w:ascii="Arial" w:eastAsia="Times New Roman" w:hAnsi="Arial" w:cs="Arial"/>
                <w:sz w:val="24"/>
                <w:szCs w:val="24"/>
                <w:lang w:eastAsia="it-IT"/>
              </w:rPr>
              <w:t>; l’altra metà da grandi imprese, principalmente dal settore farmaceutico. IMI2 aprirà la strada per lo sviluppo di nuovi vaccini, medicinali. Sito IMI: </w:t>
            </w:r>
            <w:hyperlink r:id="rId68" w:tgtFrame="_blank" w:history="1">
              <w:r w:rsidRPr="00AA1AEB">
                <w:rPr>
                  <w:rFonts w:ascii="Arial" w:eastAsia="Times New Roman" w:hAnsi="Arial" w:cs="Arial"/>
                  <w:color w:val="1155CC"/>
                  <w:sz w:val="24"/>
                  <w:szCs w:val="24"/>
                  <w:u w:val="single"/>
                  <w:lang w:eastAsia="it-IT"/>
                </w:rPr>
                <w:t>http://www.imi.europa.eu/content/future-topics</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val="en-US" w:eastAsia="it-IT"/>
              </w:rPr>
              <w:t>SOCIETA’ INFORMAZIONE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Società informazione, Scudo UE-USA per la privacy. </w:t>
            </w:r>
            <w:r w:rsidRPr="00AA1AEB">
              <w:rPr>
                <w:rFonts w:ascii="Arial" w:eastAsia="Times New Roman" w:hAnsi="Arial" w:cs="Arial"/>
                <w:sz w:val="24"/>
                <w:szCs w:val="24"/>
                <w:lang w:eastAsia="it-IT"/>
              </w:rPr>
              <w:t>Nel  mese di luglio</w:t>
            </w:r>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xml:space="preserve">la Commissione europea ha adottato la decisione sullo scudo UE-USA per la privacy. Questo nuovo quadro protegge i diritti fondamentali di ogni persona nell'Unione europea i cui dati personali sono trasferiti negli Stati Uniti e porta chiarezza legale per le imprese che si basano su trasferimenti transatlantici di dati. Le imprese possono aderire allo scudo per la privacy registrandosi presso il ministero del Commercio degli Stati Uniti, che verifica che le loro politiche in materia di riservatezza dei dati </w:t>
            </w:r>
            <w:r w:rsidRPr="00AA1AEB">
              <w:rPr>
                <w:rFonts w:ascii="Arial" w:eastAsia="Times New Roman" w:hAnsi="Arial" w:cs="Arial"/>
                <w:sz w:val="24"/>
                <w:szCs w:val="24"/>
                <w:lang w:eastAsia="it-IT"/>
              </w:rPr>
              <w:lastRenderedPageBreak/>
              <w:t>rispettino gli standard elevati di protezione dei dati richiesti dallo scudo.</w:t>
            </w:r>
          </w:p>
          <w:p w:rsidR="00AA1AEB" w:rsidRPr="00AA1AEB" w:rsidRDefault="00AA1AEB" w:rsidP="00AA1AEB">
            <w:pPr>
              <w:spacing w:after="0" w:afterAutospacing="0"/>
              <w:jc w:val="both"/>
              <w:rPr>
                <w:rFonts w:ascii="Arial" w:eastAsia="Times New Roman" w:hAnsi="Arial" w:cs="Arial"/>
                <w:sz w:val="24"/>
                <w:szCs w:val="24"/>
                <w:lang w:eastAsia="it-IT"/>
              </w:rPr>
            </w:pPr>
            <w:hyperlink r:id="rId69" w:tgtFrame="_blank" w:history="1">
              <w:r w:rsidRPr="00AA1AEB">
                <w:rPr>
                  <w:rFonts w:ascii="Arial" w:eastAsia="Times New Roman" w:hAnsi="Arial" w:cs="Arial"/>
                  <w:color w:val="1155CC"/>
                  <w:sz w:val="24"/>
                  <w:szCs w:val="24"/>
                  <w:u w:val="single"/>
                  <w:lang w:eastAsia="it-IT"/>
                </w:rPr>
                <w:t>Comunicato stampa</w:t>
              </w:r>
            </w:hyperlink>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SOCIETA’ INFORMAZIONE</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Società informazione, consultazione sullo sportello digitale unico europeo fino al 21 novembre 2016. </w:t>
            </w:r>
            <w:r w:rsidRPr="00AA1AEB">
              <w:rPr>
                <w:rFonts w:ascii="Arial" w:eastAsia="Times New Roman" w:hAnsi="Arial" w:cs="Arial"/>
                <w:sz w:val="24"/>
                <w:szCs w:val="24"/>
                <w:lang w:eastAsia="it-IT"/>
              </w:rPr>
              <w:t xml:space="preserve">La Commissione europea ha lanciato  una consultazione pubblica sullo sportello digitale unico, uno strumento online che consentirà a cittadini e imprese di trovare facilmente le informazioni di cui hanno bisogno per circolare e svolgere attività commerciali in un altro paese dell’UE. “I cittadini e le imprese spesso non conoscono i loro diritti e hanno difficoltà a trovare le informazioni necessarie quando vogliono trasferirsi in un altro paese dell’UE o svolgervi un’attività commerciale – ha affermato </w:t>
            </w:r>
            <w:proofErr w:type="spellStart"/>
            <w:r w:rsidRPr="00AA1AEB">
              <w:rPr>
                <w:rFonts w:ascii="Arial" w:eastAsia="Times New Roman" w:hAnsi="Arial" w:cs="Arial"/>
                <w:sz w:val="24"/>
                <w:szCs w:val="24"/>
                <w:lang w:eastAsia="it-IT"/>
              </w:rPr>
              <w:t>Elżbieta</w:t>
            </w:r>
            <w:proofErr w:type="spellEnd"/>
            <w:r w:rsidRPr="00AA1AEB">
              <w:rPr>
                <w:rFonts w:ascii="Arial" w:eastAsia="Times New Roman" w:hAnsi="Arial" w:cs="Arial"/>
                <w:sz w:val="24"/>
                <w:szCs w:val="24"/>
                <w:lang w:eastAsia="it-IT"/>
              </w:rPr>
              <w:t> </w:t>
            </w:r>
            <w:proofErr w:type="spellStart"/>
            <w:r w:rsidRPr="00AA1AEB">
              <w:rPr>
                <w:rFonts w:ascii="Arial" w:eastAsia="Times New Roman" w:hAnsi="Arial" w:cs="Arial"/>
                <w:sz w:val="24"/>
                <w:szCs w:val="24"/>
                <w:lang w:eastAsia="it-IT"/>
              </w:rPr>
              <w:t>Bieńkowska</w:t>
            </w:r>
            <w:proofErr w:type="spellEnd"/>
            <w:r w:rsidRPr="00AA1AEB">
              <w:rPr>
                <w:rFonts w:ascii="Arial" w:eastAsia="Times New Roman" w:hAnsi="Arial" w:cs="Arial"/>
                <w:sz w:val="24"/>
                <w:szCs w:val="24"/>
                <w:lang w:eastAsia="it-IT"/>
              </w:rPr>
              <w:t>, Commissaria UE per il Mercato interno - lo sportello digitale unico darà accesso a tutto quello che serve per avviare un’attività transfrontaliera, viaggiare, vivere, studiare o lavorare nell’UE. Se vogliamo creare posti di lavoro e costruire un’economia competitiva dobbiamo realizzare appieno il potenziale del mercato unico”. La consultazione sarà aperta fino al 21 novembre 2016. Per approfondimenti: </w:t>
            </w:r>
            <w:hyperlink r:id="rId70" w:tgtFrame="_blank" w:history="1">
              <w:r w:rsidRPr="00AA1AEB">
                <w:rPr>
                  <w:rFonts w:ascii="Arial" w:eastAsia="Times New Roman" w:hAnsi="Arial" w:cs="Arial"/>
                  <w:color w:val="1155CC"/>
                  <w:sz w:val="24"/>
                  <w:szCs w:val="24"/>
                  <w:u w:val="single"/>
                  <w:lang w:eastAsia="it-IT"/>
                </w:rPr>
                <w:t>Consultazione sullo sportello digitale unico</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SOCIETA’ INFORMAZIONE</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(in primo piano)</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Società informazione, Commissione UE approva il piano dell'Italia per la banda ultralarga per il periodo 2016-2022. </w:t>
            </w:r>
            <w:r w:rsidRPr="00AA1AEB">
              <w:rPr>
                <w:rFonts w:ascii="Arial" w:eastAsia="Times New Roman" w:hAnsi="Arial" w:cs="Arial"/>
                <w:sz w:val="24"/>
                <w:szCs w:val="24"/>
                <w:lang w:eastAsia="it-IT"/>
              </w:rPr>
              <w:t>La Commissione europea ha approvato a giugno il piano nazionale italiano per la banda larga ad alta velocità, con un bilancio da circa 4 miliardi di euro. Il piano, secondo la Commissione UE, è in linea con le norme dell'Unione in materia di aiuti di Stato. La strategia porterà l'accesso veloce a internet in aree in cui non è al momento disponibile, senza falsare indebitamente la concorrenza. In linea con gli obiettivi del </w:t>
            </w:r>
            <w:hyperlink r:id="rId71" w:tgtFrame="_blank" w:history="1">
              <w:r w:rsidRPr="00AA1AEB">
                <w:rPr>
                  <w:rFonts w:ascii="Arial" w:eastAsia="Times New Roman" w:hAnsi="Arial" w:cs="Arial"/>
                  <w:color w:val="1155CC"/>
                  <w:sz w:val="24"/>
                  <w:szCs w:val="24"/>
                  <w:u w:val="single"/>
                  <w:lang w:eastAsia="it-IT"/>
                </w:rPr>
                <w:t>mercato unico digitale</w:t>
              </w:r>
            </w:hyperlink>
            <w:r w:rsidRPr="00AA1AEB">
              <w:rPr>
                <w:rFonts w:ascii="Arial" w:eastAsia="Times New Roman" w:hAnsi="Arial" w:cs="Arial"/>
                <w:sz w:val="24"/>
                <w:szCs w:val="24"/>
                <w:lang w:eastAsia="it-IT"/>
              </w:rPr>
              <w:t>, la strategia italiana per la banda ultralarga mira ad aumentare la copertura della banda larga ad alta velocità, contribuendo così al raggiungimento dell'obiettivo nazionale di estenderla all'85% della popolazione e a tutti gli edifici pubblici (in particolare a scuole e ospedali) con una connettività di almeno 100 Mbps. Il piano sarà in vigore fino al 31 dicembre 2022. Lo stato italiano finanzierà completamente la nuova infrastruttura, che resterà di proprietà pubblica, e incaricherà un concessionario della gestione della rete. La strategia è anche corredata di un piano di valutazione dettagliato i cui risultati saranno presentati alla Commissione entro il giugno 2022. Per saperne di più: </w:t>
            </w:r>
            <w:hyperlink r:id="rId72" w:tgtFrame="_blank" w:history="1">
              <w:r w:rsidRPr="00AA1AEB">
                <w:rPr>
                  <w:rFonts w:ascii="Arial" w:eastAsia="Times New Roman" w:hAnsi="Arial" w:cs="Arial"/>
                  <w:color w:val="1155CC"/>
                  <w:sz w:val="24"/>
                  <w:szCs w:val="24"/>
                  <w:u w:val="single"/>
                  <w:lang w:eastAsia="it-IT"/>
                </w:rPr>
                <w:t>Comunicato stampa</w:t>
              </w:r>
            </w:hyperlink>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r w:rsidR="00AA1AEB" w:rsidRPr="00AA1AEB" w:rsidTr="00AA1AEB">
        <w:trPr>
          <w:trHeight w:val="411"/>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val="fr-FR" w:eastAsia="it-IT"/>
              </w:rPr>
              <w:t>TRASPORTI</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Trasporti, 6,7 miliardi di euro dall’UE per infrastrutture nel settore dei trasporti.</w:t>
            </w:r>
            <w:r w:rsidRPr="00AA1AEB">
              <w:rPr>
                <w:rFonts w:ascii="Arial" w:eastAsia="Times New Roman" w:hAnsi="Arial" w:cs="Arial"/>
                <w:sz w:val="24"/>
                <w:szCs w:val="24"/>
                <w:lang w:eastAsia="it-IT"/>
              </w:rPr>
              <w:t> La Commissione europea ha presentato nel mese di giugno u</w:t>
            </w:r>
            <w:hyperlink r:id="rId73" w:tgtFrame="_blank" w:history="1">
              <w:r w:rsidRPr="00AA1AEB">
                <w:rPr>
                  <w:rFonts w:ascii="Arial" w:eastAsia="Times New Roman" w:hAnsi="Arial" w:cs="Arial"/>
                  <w:color w:val="1155CC"/>
                  <w:sz w:val="24"/>
                  <w:szCs w:val="24"/>
                  <w:u w:val="single"/>
                  <w:lang w:eastAsia="it-IT"/>
                </w:rPr>
                <w:t>n elenco di 195 progetti nel settore dei trasporti</w:t>
              </w:r>
            </w:hyperlink>
            <w:r w:rsidRPr="00AA1AEB">
              <w:rPr>
                <w:rFonts w:ascii="Arial" w:eastAsia="Times New Roman" w:hAnsi="Arial" w:cs="Arial"/>
                <w:sz w:val="24"/>
                <w:szCs w:val="24"/>
                <w:lang w:eastAsia="it-IT"/>
              </w:rPr>
              <w:t> a cui assegnare un finanziamento di 6,7 miliardi di EUR nell’ambito del Meccanismo per collegare l'Europa (CEF). Secondo le previsioni questo investimento consentirà di sbloccare ulteriori cofinanziamenti pubblici e privati per un importo complessivo di 9,6 miliardi di EUR. I progetti selezionati sono situati per la maggior parte sulle </w:t>
            </w:r>
            <w:hyperlink r:id="rId74" w:tgtFrame="_blank" w:history="1">
              <w:r w:rsidRPr="00AA1AEB">
                <w:rPr>
                  <w:rFonts w:ascii="Arial" w:eastAsia="Times New Roman" w:hAnsi="Arial" w:cs="Arial"/>
                  <w:color w:val="1155CC"/>
                  <w:sz w:val="24"/>
                  <w:szCs w:val="24"/>
                  <w:u w:val="single"/>
                  <w:lang w:eastAsia="it-IT"/>
                </w:rPr>
                <w:t>reti transeuropee centrali dei trasporti</w:t>
              </w:r>
            </w:hyperlink>
            <w:r w:rsidRPr="00AA1AEB">
              <w:rPr>
                <w:rFonts w:ascii="Arial" w:eastAsia="Times New Roman" w:hAnsi="Arial" w:cs="Arial"/>
                <w:sz w:val="24"/>
                <w:szCs w:val="24"/>
                <w:lang w:eastAsia="it-IT"/>
              </w:rPr>
              <w:t xml:space="preserve"> (TEN-T). Tra i progetti beneficiari si annoverano iniziative faro </w:t>
            </w:r>
            <w:r w:rsidRPr="00AA1AEB">
              <w:rPr>
                <w:rFonts w:ascii="Arial" w:eastAsia="Times New Roman" w:hAnsi="Arial" w:cs="Arial"/>
                <w:sz w:val="24"/>
                <w:szCs w:val="24"/>
                <w:lang w:eastAsia="it-IT"/>
              </w:rPr>
              <w:lastRenderedPageBreak/>
              <w:t xml:space="preserve">quali il ripristino della tratta ferroviaria </w:t>
            </w:r>
            <w:proofErr w:type="spellStart"/>
            <w:r w:rsidRPr="00AA1AEB">
              <w:rPr>
                <w:rFonts w:ascii="Arial" w:eastAsia="Times New Roman" w:hAnsi="Arial" w:cs="Arial"/>
                <w:sz w:val="24"/>
                <w:szCs w:val="24"/>
                <w:lang w:eastAsia="it-IT"/>
              </w:rPr>
              <w:t>Brasov-Sighisoara</w:t>
            </w:r>
            <w:proofErr w:type="spellEnd"/>
            <w:r w:rsidRPr="00AA1AEB">
              <w:rPr>
                <w:rFonts w:ascii="Arial" w:eastAsia="Times New Roman" w:hAnsi="Arial" w:cs="Arial"/>
                <w:sz w:val="24"/>
                <w:szCs w:val="24"/>
                <w:lang w:eastAsia="it-IT"/>
              </w:rPr>
              <w:t xml:space="preserve"> in Romania, il collegamento ferroviario </w:t>
            </w:r>
            <w:proofErr w:type="spellStart"/>
            <w:r w:rsidRPr="00AA1AEB">
              <w:rPr>
                <w:rFonts w:ascii="Arial" w:eastAsia="Times New Roman" w:hAnsi="Arial" w:cs="Arial"/>
                <w:sz w:val="24"/>
                <w:szCs w:val="24"/>
                <w:lang w:eastAsia="it-IT"/>
              </w:rPr>
              <w:t>Aveiro-Vilar</w:t>
            </w:r>
            <w:proofErr w:type="spellEnd"/>
            <w:r w:rsidRPr="00AA1AEB">
              <w:rPr>
                <w:rFonts w:ascii="Arial" w:eastAsia="Times New Roman" w:hAnsi="Arial" w:cs="Arial"/>
                <w:sz w:val="24"/>
                <w:szCs w:val="24"/>
                <w:lang w:eastAsia="it-IT"/>
              </w:rPr>
              <w:t xml:space="preserve"> Formoso in Portogallo, lo sviluppo della linea ferroviaria a scartamento standard lungo il corridoio Baltico, l'attuazione del </w:t>
            </w:r>
            <w:hyperlink r:id="rId75" w:tgtFrame="_blank" w:history="1">
              <w:r w:rsidRPr="00AA1AEB">
                <w:rPr>
                  <w:rFonts w:ascii="Arial" w:eastAsia="Times New Roman" w:hAnsi="Arial" w:cs="Arial"/>
                  <w:color w:val="1155CC"/>
                  <w:sz w:val="24"/>
                  <w:szCs w:val="24"/>
                  <w:u w:val="single"/>
                  <w:lang w:eastAsia="it-IT"/>
                </w:rPr>
                <w:t>programma di realizzazione SESAR</w:t>
              </w:r>
            </w:hyperlink>
            <w:r w:rsidRPr="00AA1AEB">
              <w:rPr>
                <w:rFonts w:ascii="Arial" w:eastAsia="Times New Roman" w:hAnsi="Arial" w:cs="Arial"/>
                <w:sz w:val="24"/>
                <w:szCs w:val="24"/>
                <w:lang w:eastAsia="it-IT"/>
              </w:rPr>
              <w:t xml:space="preserve"> e l'ammodernamento della linea ferroviaria E30 (sezione </w:t>
            </w:r>
            <w:proofErr w:type="spellStart"/>
            <w:r w:rsidRPr="00AA1AEB">
              <w:rPr>
                <w:rFonts w:ascii="Arial" w:eastAsia="Times New Roman" w:hAnsi="Arial" w:cs="Arial"/>
                <w:sz w:val="24"/>
                <w:szCs w:val="24"/>
                <w:lang w:eastAsia="it-IT"/>
              </w:rPr>
              <w:t>Zabrze</w:t>
            </w:r>
            <w:proofErr w:type="spellEnd"/>
            <w:r w:rsidRPr="00AA1AEB">
              <w:rPr>
                <w:rFonts w:ascii="Arial" w:eastAsia="Times New Roman" w:hAnsi="Arial" w:cs="Arial"/>
                <w:sz w:val="24"/>
                <w:szCs w:val="24"/>
                <w:lang w:eastAsia="it-IT"/>
              </w:rPr>
              <w:t xml:space="preserve"> - Katowice - Cracovia) in Polonia. </w:t>
            </w:r>
            <w:hyperlink r:id="rId76" w:tgtFrame="_blank" w:history="1">
              <w:r w:rsidRPr="00AA1AEB">
                <w:rPr>
                  <w:rFonts w:ascii="Arial" w:eastAsia="Times New Roman" w:hAnsi="Arial" w:cs="Arial"/>
                  <w:color w:val="1155CC"/>
                  <w:sz w:val="24"/>
                  <w:szCs w:val="24"/>
                  <w:u w:val="single"/>
                  <w:lang w:eastAsia="it-IT"/>
                </w:rPr>
                <w:t>http://europa.eu/rapid/press-release_IP-16-2198_it.htm</w:t>
              </w:r>
            </w:hyperlink>
          </w:p>
        </w:tc>
      </w:tr>
      <w:tr w:rsidR="00AA1AEB" w:rsidRPr="00AA1AEB" w:rsidTr="00AA1AEB">
        <w:trPr>
          <w:trHeight w:val="1133"/>
        </w:trPr>
        <w:tc>
          <w:tcPr>
            <w:tcW w:w="2376" w:type="dxa"/>
            <w:tcBorders>
              <w:top w:val="nil"/>
              <w:left w:val="single" w:sz="8" w:space="0" w:color="auto"/>
              <w:bottom w:val="single" w:sz="8" w:space="0" w:color="auto"/>
              <w:right w:val="single" w:sz="8" w:space="0" w:color="auto"/>
            </w:tcBorders>
            <w:shd w:val="clear" w:color="auto" w:fill="BFBFBF"/>
            <w:tcMar>
              <w:top w:w="0" w:type="dxa"/>
              <w:left w:w="108" w:type="dxa"/>
              <w:bottom w:w="0" w:type="dxa"/>
              <w:right w:w="108" w:type="dxa"/>
            </w:tcMar>
            <w:hideMark/>
          </w:tcPr>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lastRenderedPageBreak/>
              <w:t>UNIONE EUROPEA</w:t>
            </w:r>
          </w:p>
          <w:p w:rsidR="00AA1AEB" w:rsidRPr="00AA1AEB" w:rsidRDefault="00AA1AEB" w:rsidP="00AA1AEB">
            <w:pPr>
              <w:spacing w:after="0" w:afterAutospacing="0"/>
              <w:rPr>
                <w:rFonts w:ascii="Arial" w:eastAsia="Times New Roman" w:hAnsi="Arial" w:cs="Arial"/>
                <w:sz w:val="24"/>
                <w:szCs w:val="24"/>
                <w:lang w:eastAsia="it-IT"/>
              </w:rPr>
            </w:pPr>
            <w:r w:rsidRPr="00AA1AEB">
              <w:rPr>
                <w:rFonts w:ascii="Arial" w:eastAsia="Times New Roman" w:hAnsi="Arial" w:cs="Arial"/>
                <w:b/>
                <w:bCs/>
                <w:color w:val="FF0000"/>
                <w:sz w:val="24"/>
                <w:szCs w:val="24"/>
                <w:lang w:eastAsia="it-IT"/>
              </w:rPr>
              <w:t> </w:t>
            </w:r>
          </w:p>
        </w:tc>
        <w:tc>
          <w:tcPr>
            <w:tcW w:w="7133" w:type="dxa"/>
            <w:tcBorders>
              <w:top w:val="nil"/>
              <w:left w:val="nil"/>
              <w:bottom w:val="single" w:sz="8" w:space="0" w:color="auto"/>
              <w:right w:val="single" w:sz="8" w:space="0" w:color="auto"/>
            </w:tcBorders>
            <w:tcMar>
              <w:top w:w="0" w:type="dxa"/>
              <w:left w:w="108" w:type="dxa"/>
              <w:bottom w:w="0" w:type="dxa"/>
              <w:right w:w="108" w:type="dxa"/>
            </w:tcMar>
            <w:hideMark/>
          </w:tcPr>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xml:space="preserve">Unione europea, nomine: Stefano Grassi nuovo membro italiano del gabinetto </w:t>
            </w:r>
            <w:proofErr w:type="spellStart"/>
            <w:r w:rsidRPr="00AA1AEB">
              <w:rPr>
                <w:rFonts w:ascii="Arial" w:eastAsia="Times New Roman" w:hAnsi="Arial" w:cs="Arial"/>
                <w:b/>
                <w:bCs/>
                <w:sz w:val="24"/>
                <w:szCs w:val="24"/>
                <w:lang w:eastAsia="it-IT"/>
              </w:rPr>
              <w:t>Juncker</w:t>
            </w:r>
            <w:proofErr w:type="spellEnd"/>
            <w:r w:rsidRPr="00AA1AEB">
              <w:rPr>
                <w:rFonts w:ascii="Arial" w:eastAsia="Times New Roman" w:hAnsi="Arial" w:cs="Arial"/>
                <w:b/>
                <w:bCs/>
                <w:sz w:val="24"/>
                <w:szCs w:val="24"/>
                <w:lang w:eastAsia="it-IT"/>
              </w:rPr>
              <w:t>. </w:t>
            </w:r>
            <w:r w:rsidRPr="00AA1AEB">
              <w:rPr>
                <w:rFonts w:ascii="Arial" w:eastAsia="Times New Roman" w:hAnsi="Arial" w:cs="Arial"/>
                <w:sz w:val="24"/>
                <w:szCs w:val="24"/>
                <w:lang w:eastAsia="it-IT"/>
              </w:rPr>
              <w:t xml:space="preserve">Il 30 agosto è stata annunciata la nomina di Stefano Grassi, toscano, come nuovo membro del Gabinetto del Presidente della Commissione europea  Jean Claude </w:t>
            </w:r>
            <w:proofErr w:type="spellStart"/>
            <w:r w:rsidRPr="00AA1AEB">
              <w:rPr>
                <w:rFonts w:ascii="Arial" w:eastAsia="Times New Roman" w:hAnsi="Arial" w:cs="Arial"/>
                <w:sz w:val="24"/>
                <w:szCs w:val="24"/>
                <w:lang w:eastAsia="it-IT"/>
              </w:rPr>
              <w:t>Juncker</w:t>
            </w:r>
            <w:proofErr w:type="spellEnd"/>
            <w:r w:rsidRPr="00AA1AEB">
              <w:rPr>
                <w:rFonts w:ascii="Arial" w:eastAsia="Times New Roman" w:hAnsi="Arial" w:cs="Arial"/>
                <w:sz w:val="24"/>
                <w:szCs w:val="24"/>
                <w:lang w:eastAsia="it-IT"/>
              </w:rPr>
              <w:t>. Si occuperà di Giustizia e degli aspetti esterni della questione migratoria. Grassi lavora alla Commissione europea dal 2004, dove ha ricoperto vari ruoli di responsabilità. Tra l'altro, tra il 2011 ed il 2013 è stato consigliere per gli affari Ue e le riforme economiche del premier Mario Monti, e consigliere Ue per il premier Enrico Letta tra il 2013 ed il 2014. Fonte: Ansa</w:t>
            </w:r>
            <w:hyperlink r:id="rId77" w:tgtFrame="_blank" w:history="1">
              <w:r w:rsidRPr="00AA1AEB">
                <w:rPr>
                  <w:rFonts w:ascii="Arial" w:eastAsia="Times New Roman" w:hAnsi="Arial" w:cs="Arial"/>
                  <w:color w:val="1155CC"/>
                  <w:sz w:val="24"/>
                  <w:szCs w:val="24"/>
                  <w:u w:val="single"/>
                  <w:lang w:eastAsia="it-IT"/>
                </w:rPr>
                <w:t>https://www.ansa.it/europa/notizie/rubriche/altrenews/2016/08/30/ue-stefano-grassi-nuovo-membro-gabinetto-juncker_92bb671d-0f1a-41f2-ab7f-44d3511145ad.html</w:t>
              </w:r>
            </w:hyperlink>
          </w:p>
          <w:p w:rsidR="00AA1AEB" w:rsidRPr="00AA1AEB" w:rsidRDefault="00AA1AEB" w:rsidP="00AA1AEB">
            <w:pPr>
              <w:spacing w:after="0" w:afterAutospacing="0"/>
              <w:jc w:val="both"/>
              <w:rPr>
                <w:rFonts w:ascii="Arial" w:eastAsia="Times New Roman" w:hAnsi="Arial" w:cs="Arial"/>
                <w:sz w:val="24"/>
                <w:szCs w:val="24"/>
                <w:lang w:eastAsia="it-IT"/>
              </w:rPr>
            </w:pPr>
            <w:r w:rsidRPr="00AA1AEB">
              <w:rPr>
                <w:rFonts w:ascii="Arial" w:eastAsia="Times New Roman" w:hAnsi="Arial" w:cs="Arial"/>
                <w:b/>
                <w:bCs/>
                <w:sz w:val="24"/>
                <w:szCs w:val="24"/>
                <w:lang w:eastAsia="it-IT"/>
              </w:rPr>
              <w:t> </w:t>
            </w:r>
          </w:p>
        </w:tc>
      </w:tr>
    </w:tbl>
    <w:p w:rsidR="00AA1AEB" w:rsidRPr="00AA1AEB" w:rsidRDefault="00AA1AEB" w:rsidP="00AA1AEB">
      <w:pPr>
        <w:spacing w:after="0" w:afterAutospacing="0"/>
        <w:rPr>
          <w:rFonts w:ascii="Arial" w:eastAsia="Times New Roman" w:hAnsi="Arial" w:cs="Arial"/>
          <w:color w:val="000000"/>
          <w:sz w:val="24"/>
          <w:szCs w:val="24"/>
          <w:lang w:eastAsia="it-IT"/>
        </w:rPr>
      </w:pPr>
      <w:r w:rsidRPr="00AA1AEB">
        <w:rPr>
          <w:rFonts w:ascii="Arial" w:eastAsia="Times New Roman" w:hAnsi="Arial" w:cs="Arial"/>
          <w:color w:val="000000"/>
          <w:sz w:val="24"/>
          <w:szCs w:val="24"/>
          <w:lang w:eastAsia="it-IT"/>
        </w:rPr>
        <w:t> </w:t>
      </w:r>
    </w:p>
    <w:p w:rsidR="00B719B0" w:rsidRDefault="00B719B0"/>
    <w:sectPr w:rsidR="00B719B0" w:rsidSect="00B719B0">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AA1AEB"/>
    <w:rsid w:val="0018391F"/>
    <w:rsid w:val="007C6CD8"/>
    <w:rsid w:val="00AA1AEB"/>
    <w:rsid w:val="00B719B0"/>
    <w:rsid w:val="00CF360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it-IT"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719B0"/>
  </w:style>
  <w:style w:type="paragraph" w:styleId="Titolo1">
    <w:name w:val="heading 1"/>
    <w:basedOn w:val="Normale"/>
    <w:link w:val="Titolo1Carattere"/>
    <w:uiPriority w:val="9"/>
    <w:qFormat/>
    <w:rsid w:val="00AA1AEB"/>
    <w:pPr>
      <w:outlineLvl w:val="0"/>
    </w:pPr>
    <w:rPr>
      <w:rFonts w:eastAsia="Times New Roman" w:cs="Times New Roman"/>
      <w:b/>
      <w:bCs/>
      <w:kern w:val="36"/>
      <w:sz w:val="48"/>
      <w:szCs w:val="48"/>
      <w:lang w:eastAsia="it-IT"/>
    </w:rPr>
  </w:style>
  <w:style w:type="paragraph" w:styleId="Titolo3">
    <w:name w:val="heading 3"/>
    <w:basedOn w:val="Normale"/>
    <w:link w:val="Titolo3Carattere"/>
    <w:uiPriority w:val="9"/>
    <w:qFormat/>
    <w:rsid w:val="00AA1AEB"/>
    <w:pPr>
      <w:outlineLvl w:val="2"/>
    </w:pPr>
    <w:rPr>
      <w:rFonts w:eastAsia="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A1AEB"/>
    <w:rPr>
      <w:rFonts w:eastAsia="Times New Roman" w:cs="Times New Roman"/>
      <w:b/>
      <w:bCs/>
      <w:kern w:val="36"/>
      <w:sz w:val="48"/>
      <w:szCs w:val="48"/>
      <w:lang w:eastAsia="it-IT"/>
    </w:rPr>
  </w:style>
  <w:style w:type="character" w:customStyle="1" w:styleId="Titolo3Carattere">
    <w:name w:val="Titolo 3 Carattere"/>
    <w:basedOn w:val="Carpredefinitoparagrafo"/>
    <w:link w:val="Titolo3"/>
    <w:uiPriority w:val="9"/>
    <w:rsid w:val="00AA1AEB"/>
    <w:rPr>
      <w:rFonts w:eastAsia="Times New Roman" w:cs="Times New Roman"/>
      <w:b/>
      <w:bCs/>
      <w:sz w:val="27"/>
      <w:szCs w:val="27"/>
      <w:lang w:eastAsia="it-IT"/>
    </w:rPr>
  </w:style>
  <w:style w:type="character" w:customStyle="1" w:styleId="apple-converted-space">
    <w:name w:val="apple-converted-space"/>
    <w:basedOn w:val="Carpredefinitoparagrafo"/>
    <w:rsid w:val="00AA1AEB"/>
  </w:style>
  <w:style w:type="character" w:styleId="Collegamentoipertestuale">
    <w:name w:val="Hyperlink"/>
    <w:basedOn w:val="Carpredefinitoparagrafo"/>
    <w:uiPriority w:val="99"/>
    <w:semiHidden/>
    <w:unhideWhenUsed/>
    <w:rsid w:val="00AA1AEB"/>
    <w:rPr>
      <w:color w:val="0000FF"/>
      <w:u w:val="single"/>
    </w:rPr>
  </w:style>
  <w:style w:type="character" w:styleId="Enfasigrassetto">
    <w:name w:val="Strong"/>
    <w:basedOn w:val="Carpredefinitoparagrafo"/>
    <w:uiPriority w:val="22"/>
    <w:qFormat/>
    <w:rsid w:val="00AA1AEB"/>
    <w:rPr>
      <w:b/>
      <w:bCs/>
    </w:rPr>
  </w:style>
  <w:style w:type="paragraph" w:styleId="NormaleWeb">
    <w:name w:val="Normal (Web)"/>
    <w:basedOn w:val="Normale"/>
    <w:uiPriority w:val="99"/>
    <w:semiHidden/>
    <w:unhideWhenUsed/>
    <w:rsid w:val="00AA1AEB"/>
    <w:rPr>
      <w:rFonts w:eastAsia="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divs>
    <w:div w:id="637151883">
      <w:bodyDiv w:val="1"/>
      <w:marLeft w:val="0"/>
      <w:marRight w:val="0"/>
      <w:marTop w:val="0"/>
      <w:marBottom w:val="0"/>
      <w:divBdr>
        <w:top w:val="none" w:sz="0" w:space="0" w:color="auto"/>
        <w:left w:val="none" w:sz="0" w:space="0" w:color="auto"/>
        <w:bottom w:val="none" w:sz="0" w:space="0" w:color="auto"/>
        <w:right w:val="none" w:sz="0" w:space="0" w:color="auto"/>
      </w:divBdr>
      <w:divsChild>
        <w:div w:id="17403235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ec.europa.eu/environment/ecolabel/" TargetMode="External"/><Relationship Id="rId18" Type="http://schemas.openxmlformats.org/officeDocument/2006/relationships/hyperlink" Target="http://ec.europa.eu/transport/themes/strategies/news/doc/2016-07-20-decarbonisation/com%282016%29501_en.pdf" TargetMode="External"/><Relationship Id="rId26" Type="http://schemas.openxmlformats.org/officeDocument/2006/relationships/hyperlink" Target="https://ec.europa.eu/programmes/creative-europe/" TargetMode="External"/><Relationship Id="rId39" Type="http://schemas.openxmlformats.org/officeDocument/2006/relationships/hyperlink" Target="https://ec.europa.eu/inea/en/connecting-europe-facility/cef-energy" TargetMode="External"/><Relationship Id="rId21" Type="http://schemas.openxmlformats.org/officeDocument/2006/relationships/hyperlink" Target="http://www.compactofmayors.org/" TargetMode="External"/><Relationship Id="rId34" Type="http://schemas.openxmlformats.org/officeDocument/2006/relationships/hyperlink" Target="https://ec.europa.eu/programmes/creative-europe/" TargetMode="External"/><Relationship Id="rId42" Type="http://schemas.openxmlformats.org/officeDocument/2006/relationships/hyperlink" Target="https://ec.europa.eu/inea/en/connecting-europe-facility/cef-energy/calls/2016-cef-energy-calls-proposals" TargetMode="External"/><Relationship Id="rId47" Type="http://schemas.openxmlformats.org/officeDocument/2006/relationships/hyperlink" Target="http://www.eif.org/what_we_do/guarantees/news/2016/efsi_innovfin_tenax.htm" TargetMode="External"/><Relationship Id="rId50" Type="http://schemas.openxmlformats.org/officeDocument/2006/relationships/hyperlink" Target="http://ec.europa.eu/italy/news/2016/20160610_migliori_competenze_europa_it.htm" TargetMode="External"/><Relationship Id="rId55" Type="http://schemas.openxmlformats.org/officeDocument/2006/relationships/hyperlink" Target="http://ec.europa.eu/regional_policy/regions-and-cities/2016/index.cfm" TargetMode="External"/><Relationship Id="rId63" Type="http://schemas.openxmlformats.org/officeDocument/2006/relationships/hyperlink" Target="http://ec.europa.eu/research/innovation-union/index_en.cfm?pg=eip" TargetMode="External"/><Relationship Id="rId68" Type="http://schemas.openxmlformats.org/officeDocument/2006/relationships/hyperlink" Target="http://www.imi.europa.eu/content/future-topics" TargetMode="External"/><Relationship Id="rId76" Type="http://schemas.openxmlformats.org/officeDocument/2006/relationships/hyperlink" Target="http://europa.eu/rapid/press-release_IP-16-2198_it.htm" TargetMode="External"/><Relationship Id="rId7" Type="http://schemas.openxmlformats.org/officeDocument/2006/relationships/hyperlink" Target="http://ec.europa.eu/dgs/home-affairs/financing/fundings/migration-asylum-borders/asylum-migration-integration-fund/index_en.htm" TargetMode="External"/><Relationship Id="rId71" Type="http://schemas.openxmlformats.org/officeDocument/2006/relationships/hyperlink" Target="http://eur-lex.europa.eu/legal-content/IT/TXT/PDF/?uri=CELEX:52010DC0245&amp;from=en" TargetMode="External"/><Relationship Id="rId2" Type="http://schemas.openxmlformats.org/officeDocument/2006/relationships/settings" Target="settings.xml"/><Relationship Id="rId16" Type="http://schemas.openxmlformats.org/officeDocument/2006/relationships/hyperlink" Target="http://ec.europa.eu/environment/ecolabel/products-groups-and-criteria.html" TargetMode="External"/><Relationship Id="rId29" Type="http://schemas.openxmlformats.org/officeDocument/2006/relationships/hyperlink" Target="https://ec.europa.eu/digital-single-market/en/media-sub-programme-creative-europe" TargetMode="External"/><Relationship Id="rId11" Type="http://schemas.openxmlformats.org/officeDocument/2006/relationships/hyperlink" Target="http://europa.eu/rapid/press-release_IP-16-2563_it.htm" TargetMode="External"/><Relationship Id="rId24" Type="http://schemas.openxmlformats.org/officeDocument/2006/relationships/hyperlink" Target="http://ec.europa.eu/food/safety/food_waste/eu_actions/eu-platform/index_en.htm" TargetMode="External"/><Relationship Id="rId32" Type="http://schemas.openxmlformats.org/officeDocument/2006/relationships/hyperlink" Target="https://ec.europa.eu/digital-single-market/en/financial-guarantee-facility-culture-creative" TargetMode="External"/><Relationship Id="rId37" Type="http://schemas.openxmlformats.org/officeDocument/2006/relationships/hyperlink" Target="http://ec.europa.eu/culture/library/publications/2016-cultural-relations-communication_it.pdf" TargetMode="External"/><Relationship Id="rId40" Type="http://schemas.openxmlformats.org/officeDocument/2006/relationships/hyperlink" Target="http://europa.eu/rapid/press-release_IP-16-1933_it.htm" TargetMode="External"/><Relationship Id="rId45" Type="http://schemas.openxmlformats.org/officeDocument/2006/relationships/hyperlink" Target="https://ec.europa.eu/italy/node/3654_it" TargetMode="External"/><Relationship Id="rId53" Type="http://schemas.openxmlformats.org/officeDocument/2006/relationships/hyperlink" Target="http://ec.europa.eu/contracts_grants/funds_it.htm" TargetMode="External"/><Relationship Id="rId58" Type="http://schemas.openxmlformats.org/officeDocument/2006/relationships/hyperlink" Target="http://europa.eu/rapid/press-release_IP-16-2259_it.htm" TargetMode="External"/><Relationship Id="rId66" Type="http://schemas.openxmlformats.org/officeDocument/2006/relationships/hyperlink" Target="http://www.imi.europa.eu/events/2016/06/24/imi-stakeholder-forum-2016" TargetMode="External"/><Relationship Id="rId74" Type="http://schemas.openxmlformats.org/officeDocument/2006/relationships/hyperlink" Target="http://ec.europa.eu/transport/themes/infrastructure/ten-t-guidelines/corridors/index_it.htm" TargetMode="External"/><Relationship Id="rId79" Type="http://schemas.openxmlformats.org/officeDocument/2006/relationships/theme" Target="theme/theme1.xml"/><Relationship Id="rId5" Type="http://schemas.openxmlformats.org/officeDocument/2006/relationships/hyperlink" Target="http://www.pwc.com/gx/en/issues/cyber-security/information-security-survey.html" TargetMode="External"/><Relationship Id="rId61" Type="http://schemas.openxmlformats.org/officeDocument/2006/relationships/hyperlink" Target="https://erc.europa.eu/documents/ERC-Work-Programme-2017" TargetMode="External"/><Relationship Id="rId10" Type="http://schemas.openxmlformats.org/officeDocument/2006/relationships/hyperlink" Target="http://europa.eu/rapid/press-release_IP-16-1620_it.htm" TargetMode="External"/><Relationship Id="rId19" Type="http://schemas.openxmlformats.org/officeDocument/2006/relationships/hyperlink" Target="http://europa.eu/rapid/press-release_IP-16-2545_it.htm" TargetMode="External"/><Relationship Id="rId31" Type="http://schemas.openxmlformats.org/officeDocument/2006/relationships/hyperlink" Target="http://www.labiennale.org/en/calendar/cinema/king-of-the-belgians.html?back=true" TargetMode="External"/><Relationship Id="rId44" Type="http://schemas.openxmlformats.org/officeDocument/2006/relationships/hyperlink" Target="http://ec.europa.eu/justice/civil/files/family-matters/brussels2_regulation_en.pdf" TargetMode="External"/><Relationship Id="rId52" Type="http://schemas.openxmlformats.org/officeDocument/2006/relationships/hyperlink" Target="http://ec.europa.eu/regional_policy/regions-and-cities/reports/programme_full_2016.cfm" TargetMode="External"/><Relationship Id="rId60" Type="http://schemas.openxmlformats.org/officeDocument/2006/relationships/hyperlink" Target="https://erc.europa.eu/sites/default/files/press_release/files/erc_press_release_stg2016_results.pdf" TargetMode="External"/><Relationship Id="rId65" Type="http://schemas.openxmlformats.org/officeDocument/2006/relationships/hyperlink" Target="http://ec.europa.eu/italy/news/2016/20160615_interferenti_endocrini_it.htm" TargetMode="External"/><Relationship Id="rId73" Type="http://schemas.openxmlformats.org/officeDocument/2006/relationships/hyperlink" Target="http://ec.europa.eu/transport/themes/infrastructure/ten-t-guidelines/project-funding/doc/cef/2015-cef-selected-proposals.pdf" TargetMode="External"/><Relationship Id="rId78" Type="http://schemas.openxmlformats.org/officeDocument/2006/relationships/fontTable" Target="fontTable.xml"/><Relationship Id="rId4" Type="http://schemas.openxmlformats.org/officeDocument/2006/relationships/hyperlink" Target="https://ec.europa.eu/italy/node/4009_it" TargetMode="External"/><Relationship Id="rId9" Type="http://schemas.openxmlformats.org/officeDocument/2006/relationships/hyperlink" Target="https://ec.europa.eu/italy/node/3729_it" TargetMode="External"/><Relationship Id="rId14" Type="http://schemas.openxmlformats.org/officeDocument/2006/relationships/hyperlink" Target="http://eur-lex.europa.eu/legal-content/IT/TXT/HTML/?uri=CELEX:32016D1332&amp;from=EN" TargetMode="External"/><Relationship Id="rId22" Type="http://schemas.openxmlformats.org/officeDocument/2006/relationships/hyperlink" Target="http://ec.europa.eu/priorities/energy-union-and-climate_en" TargetMode="External"/><Relationship Id="rId27" Type="http://schemas.openxmlformats.org/officeDocument/2006/relationships/hyperlink" Target="http://europa.eu/rapid/press-release_IP-16-2074_en.htm" TargetMode="External"/><Relationship Id="rId30" Type="http://schemas.openxmlformats.org/officeDocument/2006/relationships/hyperlink" Target="http://www.labiennale.org/en/cinema/73rd-festival/line-up/off-sel/venezia73/les-beaux-jours.html" TargetMode="External"/><Relationship Id="rId35" Type="http://schemas.openxmlformats.org/officeDocument/2006/relationships/hyperlink" Target="http://europa.eu/rapid/press-release_MEMO-16-2346_en.htm" TargetMode="External"/><Relationship Id="rId43" Type="http://schemas.openxmlformats.org/officeDocument/2006/relationships/hyperlink" Target="http://europa.eu/rapid/press-release_IP-16-2063_it.htm" TargetMode="External"/><Relationship Id="rId48" Type="http://schemas.openxmlformats.org/officeDocument/2006/relationships/hyperlink" Target="http://www.eif.org/what_we_do/guarantees/news/2016/efsi_innovfin_banca_sella.htm" TargetMode="External"/><Relationship Id="rId56" Type="http://schemas.openxmlformats.org/officeDocument/2006/relationships/hyperlink" Target="http://ec.europa.eu/regional_policy/en/regio-stars-awards/" TargetMode="External"/><Relationship Id="rId64" Type="http://schemas.openxmlformats.org/officeDocument/2006/relationships/hyperlink" Target="http://ec.europa.eu/research/innovation-union/index_en.cfm?section=active-healthy-ageing" TargetMode="External"/><Relationship Id="rId69" Type="http://schemas.openxmlformats.org/officeDocument/2006/relationships/hyperlink" Target="http://europa.eu/rapid/press-release_IP-16-2461_it.htm" TargetMode="External"/><Relationship Id="rId77" Type="http://schemas.openxmlformats.org/officeDocument/2006/relationships/hyperlink" Target="https://www.ansa.it/europa/notizie/rubriche/altrenews/2016/08/30/ue-stefano-grassi-nuovo-membro-gabinetto-juncker_92bb671d-0f1a-41f2-ab7f-44d3511145ad.html" TargetMode="External"/><Relationship Id="rId8" Type="http://schemas.openxmlformats.org/officeDocument/2006/relationships/hyperlink" Target="http://ec.europa.eu/italy/news_it" TargetMode="External"/><Relationship Id="rId51" Type="http://schemas.openxmlformats.org/officeDocument/2006/relationships/hyperlink" Target="http://ec.europa.eu/regional_policy/regions-and-cities/2016/register.cfm" TargetMode="External"/><Relationship Id="rId72" Type="http://schemas.openxmlformats.org/officeDocument/2006/relationships/hyperlink" Target="http://europa.eu/rapid/press-release_IP-16-2363_it.htm" TargetMode="External"/><Relationship Id="rId3" Type="http://schemas.openxmlformats.org/officeDocument/2006/relationships/webSettings" Target="webSettings.xml"/><Relationship Id="rId12" Type="http://schemas.openxmlformats.org/officeDocument/2006/relationships/hyperlink" Target="http://ec.europa.eu/agriculture/newsroom/292_en.htm" TargetMode="External"/><Relationship Id="rId17" Type="http://schemas.openxmlformats.org/officeDocument/2006/relationships/hyperlink" Target="http://ec.europa.eu/environment/pdf/17_08_2016_news_en.pdf" TargetMode="External"/><Relationship Id="rId25" Type="http://schemas.openxmlformats.org/officeDocument/2006/relationships/hyperlink" Target="http://ec.europa.eu/dgs/home-affairs/what-we-do/policies/european-agenda-migration/proposal-implementation-package/docs/20160607/communication_external_aspects_eam_towards_new_migration_ompact_it.pdf" TargetMode="External"/><Relationship Id="rId33" Type="http://schemas.openxmlformats.org/officeDocument/2006/relationships/hyperlink" Target="http://europa.eu/rapid/midday-express-31-08-2016.htm" TargetMode="External"/><Relationship Id="rId38" Type="http://schemas.openxmlformats.org/officeDocument/2006/relationships/hyperlink" Target="http://ec.europa.eu/italy/news/2016/08062016_diplomazia_culturale_it.htm" TargetMode="External"/><Relationship Id="rId46" Type="http://schemas.openxmlformats.org/officeDocument/2006/relationships/hyperlink" Target="http://ec.europa.eu/priorities/jobs-growth-and-investment/investment-plan_en" TargetMode="External"/><Relationship Id="rId59" Type="http://schemas.openxmlformats.org/officeDocument/2006/relationships/hyperlink" Target="https://ec.europa.eu/programmes/horizon2020/" TargetMode="External"/><Relationship Id="rId67" Type="http://schemas.openxmlformats.org/officeDocument/2006/relationships/hyperlink" Target="http://www.imi.europa.eu/content/future-topics" TargetMode="External"/><Relationship Id="rId20" Type="http://schemas.openxmlformats.org/officeDocument/2006/relationships/hyperlink" Target="http://www.pattodeisindaci.eu/index_it.html" TargetMode="External"/><Relationship Id="rId41" Type="http://schemas.openxmlformats.org/officeDocument/2006/relationships/hyperlink" Target="http://europa.eu/rapid/press-release_MEMO-16-2195_de.htm" TargetMode="External"/><Relationship Id="rId54" Type="http://schemas.openxmlformats.org/officeDocument/2006/relationships/hyperlink" Target="http://www.uia-initiative.eu/" TargetMode="External"/><Relationship Id="rId62" Type="http://schemas.openxmlformats.org/officeDocument/2006/relationships/hyperlink" Target="https://ec.europa.eu/italy/node/3747_it" TargetMode="External"/><Relationship Id="rId70" Type="http://schemas.openxmlformats.org/officeDocument/2006/relationships/hyperlink" Target="http://ec.europa.eu/growth/tools-databases/newsroom/cf/itemdetail.cfm?item_id=8896" TargetMode="External"/><Relationship Id="rId75" Type="http://schemas.openxmlformats.org/officeDocument/2006/relationships/hyperlink" Target="http://ec.europa.eu/transport/modes/air/sesar/deployment_it.htm" TargetMode="External"/><Relationship Id="rId1" Type="http://schemas.openxmlformats.org/officeDocument/2006/relationships/styles" Target="styles.xml"/><Relationship Id="rId6" Type="http://schemas.openxmlformats.org/officeDocument/2006/relationships/hyperlink" Target="http://ec.europa.eu/italy/news/2016/20160614_contrastare_radicalizzazione_violenta_it.htm" TargetMode="External"/><Relationship Id="rId15" Type="http://schemas.openxmlformats.org/officeDocument/2006/relationships/hyperlink" Target="http://eur-lex.europa.eu/legal-content/IT/TXT/HTML/?uri=CELEX:32016D1349&amp;from=EN" TargetMode="External"/><Relationship Id="rId23" Type="http://schemas.openxmlformats.org/officeDocument/2006/relationships/hyperlink" Target="http://eur-lex.europa.eu/legal-content/IT/TXT/PDF/?uri=CELEX:32016R1328&amp;from=EN" TargetMode="External"/><Relationship Id="rId28" Type="http://schemas.openxmlformats.org/officeDocument/2006/relationships/hyperlink" Target="https://ec.europa.eu/italy/News/2018_patrimonio_culturale_it" TargetMode="External"/><Relationship Id="rId36" Type="http://schemas.openxmlformats.org/officeDocument/2006/relationships/hyperlink" Target="http://europa.eu/rapid/press-release_IP-16-2345_it.htm" TargetMode="External"/><Relationship Id="rId49" Type="http://schemas.openxmlformats.org/officeDocument/2006/relationships/hyperlink" Target="http://ec.europa.eu/finance/investment/venture_capital/index_en.htm" TargetMode="External"/><Relationship Id="rId57" Type="http://schemas.openxmlformats.org/officeDocument/2006/relationships/hyperlink" Target="http://eeas.europa.eu/china/docs/joint_communication_to_the_european_parliament_and_the_council_-%20elements_for_a_new_eu_strategy_on_china.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6836</Words>
  <Characters>38970</Characters>
  <Application>Microsoft Office Word</Application>
  <DocSecurity>0</DocSecurity>
  <Lines>324</Lines>
  <Paragraphs>91</Paragraphs>
  <ScaleCrop>false</ScaleCrop>
  <Company/>
  <LinksUpToDate>false</LinksUpToDate>
  <CharactersWithSpaces>45715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alessandra.garzanti</dc:creator>
  <cp:lastModifiedBy>alessandra.garzanti</cp:lastModifiedBy>
  <cp:revision>1</cp:revision>
  <dcterms:created xsi:type="dcterms:W3CDTF">2016-09-14T08:42:00Z</dcterms:created>
  <dcterms:modified xsi:type="dcterms:W3CDTF">2016-09-14T08:43:00Z</dcterms:modified>
</cp:coreProperties>
</file>