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2A822" w14:textId="77777777" w:rsidR="00DC466B" w:rsidRDefault="00DC466B" w:rsidP="00DC466B">
      <w:pPr>
        <w:pStyle w:val="Titolo1"/>
        <w:shd w:val="clear" w:color="auto" w:fill="FFFFFF"/>
        <w:spacing w:before="0" w:after="225" w:line="525" w:lineRule="atLeast"/>
        <w:jc w:val="center"/>
        <w:textAlignment w:val="baseline"/>
        <w:rPr>
          <w:rFonts w:ascii="Roboto Slab" w:hAnsi="Roboto Slab"/>
          <w:color w:val="106C93"/>
          <w:sz w:val="45"/>
          <w:szCs w:val="45"/>
        </w:rPr>
      </w:pPr>
      <w:r>
        <w:rPr>
          <w:rFonts w:ascii="Roboto Slab" w:hAnsi="Roboto Slab"/>
          <w:b/>
          <w:bCs/>
          <w:color w:val="106C93"/>
          <w:sz w:val="45"/>
          <w:szCs w:val="45"/>
        </w:rPr>
        <w:t>La Toscana dei Beni comuni: secondo appuntamento</w:t>
      </w:r>
    </w:p>
    <w:p w14:paraId="2068EFA1" w14:textId="77777777" w:rsidR="00DC466B" w:rsidRDefault="00DC466B" w:rsidP="00DC466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it-IT"/>
        </w:rPr>
      </w:pPr>
      <w:r>
        <w:rPr>
          <w:noProof/>
        </w:rPr>
        <w:drawing>
          <wp:inline distT="0" distB="0" distL="0" distR="0" wp14:anchorId="4CA4D242" wp14:editId="6A231A52">
            <wp:extent cx="6120130" cy="3951242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951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DADB4" w14:textId="77777777" w:rsidR="00DC466B" w:rsidRDefault="00DC466B" w:rsidP="00DC466B">
      <w:pPr>
        <w:shd w:val="clear" w:color="auto" w:fill="FFFFFF"/>
        <w:spacing w:after="0" w:line="240" w:lineRule="auto"/>
        <w:jc w:val="both"/>
      </w:pPr>
    </w:p>
    <w:p w14:paraId="2BBDD7C4" w14:textId="0FBC17AD" w:rsidR="00DC466B" w:rsidRDefault="00DC466B" w:rsidP="00DC466B">
      <w:pPr>
        <w:shd w:val="clear" w:color="auto" w:fill="FFFFFF"/>
        <w:spacing w:after="0" w:line="240" w:lineRule="auto"/>
        <w:jc w:val="both"/>
        <w:rPr>
          <w:rFonts w:ascii="Open Sans" w:hAnsi="Open Sans" w:cs="Open Sans"/>
          <w:color w:val="444444"/>
          <w:shd w:val="clear" w:color="auto" w:fill="FFFFFF"/>
        </w:rPr>
      </w:pPr>
      <w:r>
        <w:rPr>
          <w:rFonts w:ascii="Open Sans" w:hAnsi="Open Sans" w:cs="Open Sans"/>
          <w:color w:val="444444"/>
          <w:bdr w:val="none" w:sz="0" w:space="0" w:color="auto" w:frame="1"/>
          <w:shd w:val="clear" w:color="auto" w:fill="FFFFFF"/>
        </w:rPr>
        <w:t>Con l’approvazione dell’</w:t>
      </w:r>
      <w:r>
        <w:rPr>
          <w:rStyle w:val="Enfasigrassetto"/>
          <w:rFonts w:ascii="Open Sans" w:hAnsi="Open Sans" w:cs="Open Sans"/>
          <w:color w:val="444444"/>
          <w:bdr w:val="none" w:sz="0" w:space="0" w:color="auto" w:frame="1"/>
          <w:shd w:val="clear" w:color="auto" w:fill="FFFFFF"/>
        </w:rPr>
        <w:t>art</w:t>
      </w:r>
      <w:r w:rsidR="008F4F6E">
        <w:rPr>
          <w:rStyle w:val="Enfasigrassetto"/>
          <w:rFonts w:ascii="Open Sans" w:hAnsi="Open Sans" w:cs="Open Sans"/>
          <w:color w:val="444444"/>
          <w:bdr w:val="none" w:sz="0" w:space="0" w:color="auto" w:frame="1"/>
          <w:shd w:val="clear" w:color="auto" w:fill="FFFFFF"/>
        </w:rPr>
        <w:t>.</w:t>
      </w:r>
      <w:r>
        <w:rPr>
          <w:rStyle w:val="Enfasigrassetto"/>
          <w:rFonts w:ascii="Open Sans" w:hAnsi="Open Sans" w:cs="Open Sans"/>
          <w:color w:val="444444"/>
          <w:bdr w:val="none" w:sz="0" w:space="0" w:color="auto" w:frame="1"/>
          <w:shd w:val="clear" w:color="auto" w:fill="FFFFFF"/>
        </w:rPr>
        <w:t xml:space="preserve"> 55 del Codice del Terzo Settore</w:t>
      </w:r>
      <w:r>
        <w:rPr>
          <w:rFonts w:ascii="Open Sans" w:hAnsi="Open Sans" w:cs="Open Sans"/>
          <w:color w:val="444444"/>
          <w:bdr w:val="none" w:sz="0" w:space="0" w:color="auto" w:frame="1"/>
          <w:shd w:val="clear" w:color="auto" w:fill="FFFFFF"/>
        </w:rPr>
        <w:t xml:space="preserve"> (Decreto legislativo </w:t>
      </w:r>
      <w:r w:rsidR="008F4F6E">
        <w:rPr>
          <w:rFonts w:ascii="Open Sans" w:hAnsi="Open Sans" w:cs="Open Sans"/>
          <w:color w:val="444444"/>
          <w:bdr w:val="none" w:sz="0" w:space="0" w:color="auto" w:frame="1"/>
          <w:shd w:val="clear" w:color="auto" w:fill="FFFFFF"/>
        </w:rPr>
        <w:t xml:space="preserve">n. </w:t>
      </w:r>
      <w:r>
        <w:rPr>
          <w:rFonts w:ascii="Open Sans" w:hAnsi="Open Sans" w:cs="Open Sans"/>
          <w:color w:val="444444"/>
          <w:bdr w:val="none" w:sz="0" w:space="0" w:color="auto" w:frame="1"/>
          <w:shd w:val="clear" w:color="auto" w:fill="FFFFFF"/>
        </w:rPr>
        <w:t>117/2017) il legislatore ha inteso impegnare le amministrazioni pubbliche affinché attivino il coinvolgimento degli enti del Terzo settore «</w:t>
      </w:r>
      <w:r>
        <w:rPr>
          <w:rStyle w:val="Enfasigrassetto"/>
          <w:rFonts w:ascii="Open Sans" w:hAnsi="Open Sans" w:cs="Open Sans"/>
          <w:color w:val="444444"/>
          <w:bdr w:val="none" w:sz="0" w:space="0" w:color="auto" w:frame="1"/>
          <w:shd w:val="clear" w:color="auto" w:fill="FFFFFF"/>
        </w:rPr>
        <w:t>in forme di co-programmazione, co-progettazione e accreditamento</w:t>
      </w:r>
      <w:r>
        <w:rPr>
          <w:rFonts w:ascii="Open Sans" w:hAnsi="Open Sans" w:cs="Open Sans"/>
          <w:color w:val="444444"/>
          <w:shd w:val="clear" w:color="auto" w:fill="FFFFFF"/>
        </w:rPr>
        <w:t>». Tale disciplina assume una specificità singolare nel contesto regionale toscano per le tradizioni di civismo, il numero di volontari e</w:t>
      </w:r>
      <w:r w:rsidR="008F4F6E">
        <w:rPr>
          <w:rFonts w:ascii="Open Sans" w:hAnsi="Open Sans" w:cs="Open Sans"/>
          <w:color w:val="444444"/>
          <w:shd w:val="clear" w:color="auto" w:fill="FFFFFF"/>
        </w:rPr>
        <w:t>d</w:t>
      </w:r>
      <w:r>
        <w:rPr>
          <w:rFonts w:ascii="Open Sans" w:hAnsi="Open Sans" w:cs="Open Sans"/>
          <w:color w:val="444444"/>
          <w:shd w:val="clear" w:color="auto" w:fill="FFFFFF"/>
        </w:rPr>
        <w:t xml:space="preserve"> enti del Terzo Settore impegnat</w:t>
      </w:r>
      <w:r w:rsidR="008F4F6E">
        <w:rPr>
          <w:rFonts w:ascii="Open Sans" w:hAnsi="Open Sans" w:cs="Open Sans"/>
          <w:color w:val="444444"/>
          <w:shd w:val="clear" w:color="auto" w:fill="FFFFFF"/>
        </w:rPr>
        <w:t>i</w:t>
      </w:r>
      <w:r>
        <w:rPr>
          <w:rFonts w:ascii="Open Sans" w:hAnsi="Open Sans" w:cs="Open Sans"/>
          <w:color w:val="444444"/>
          <w:shd w:val="clear" w:color="auto" w:fill="FFFFFF"/>
        </w:rPr>
        <w:t xml:space="preserve"> ogni giorno in numerose attività, anche di cura dei beni comuni. Tanto che in Toscana vi è oggi una specifica </w:t>
      </w:r>
      <w:hyperlink r:id="rId5" w:tgtFrame="_blank" w:history="1">
        <w:r>
          <w:rPr>
            <w:rStyle w:val="Enfasigrassetto"/>
            <w:rFonts w:ascii="Open Sans" w:hAnsi="Open Sans" w:cs="Open Sans"/>
            <w:color w:val="106C93"/>
            <w:bdr w:val="none" w:sz="0" w:space="0" w:color="auto" w:frame="1"/>
            <w:shd w:val="clear" w:color="auto" w:fill="FFFFFF"/>
          </w:rPr>
          <w:t>legge sul Governo collaborativo dei beni comuni e del territorio</w:t>
        </w:r>
      </w:hyperlink>
      <w:r>
        <w:rPr>
          <w:rFonts w:ascii="Open Sans" w:hAnsi="Open Sans" w:cs="Open Sans"/>
          <w:color w:val="444444"/>
          <w:shd w:val="clear" w:color="auto" w:fill="FFFFFF"/>
        </w:rPr>
        <w:t xml:space="preserve">, per la promozione della sussidiarietà, del cui stato di attuazione abbiamo parlato nel convegno del 5 maggio u.s. organizzato da </w:t>
      </w:r>
      <w:proofErr w:type="spellStart"/>
      <w:r>
        <w:rPr>
          <w:rFonts w:ascii="Open Sans" w:hAnsi="Open Sans" w:cs="Open Sans"/>
          <w:color w:val="444444"/>
          <w:shd w:val="clear" w:color="auto" w:fill="FFFFFF"/>
        </w:rPr>
        <w:t>Labsus</w:t>
      </w:r>
      <w:proofErr w:type="spellEnd"/>
      <w:r>
        <w:rPr>
          <w:rFonts w:ascii="Open Sans" w:hAnsi="Open Sans" w:cs="Open Sans"/>
          <w:color w:val="444444"/>
          <w:shd w:val="clear" w:color="auto" w:fill="FFFFFF"/>
        </w:rPr>
        <w:t xml:space="preserve"> con il patrocinio di Regione Toscana UPI-Toscana, Anci-Toscana (puoi rivedere l’evento sia sulla nostra </w:t>
      </w:r>
      <w:hyperlink r:id="rId6" w:tgtFrame="_blank" w:history="1">
        <w:r>
          <w:rPr>
            <w:rStyle w:val="Collegamentoipertestuale"/>
            <w:rFonts w:ascii="Open Sans" w:hAnsi="Open Sans" w:cs="Open Sans"/>
            <w:color w:val="106C93"/>
            <w:bdr w:val="none" w:sz="0" w:space="0" w:color="auto" w:frame="1"/>
            <w:shd w:val="clear" w:color="auto" w:fill="FFFFFF"/>
          </w:rPr>
          <w:t>pagina Facebook</w:t>
        </w:r>
      </w:hyperlink>
      <w:r>
        <w:rPr>
          <w:rFonts w:ascii="Open Sans" w:hAnsi="Open Sans" w:cs="Open Sans"/>
          <w:color w:val="444444"/>
          <w:shd w:val="clear" w:color="auto" w:fill="FFFFFF"/>
        </w:rPr>
        <w:t>, sia sul nostro </w:t>
      </w:r>
      <w:hyperlink r:id="rId7" w:tgtFrame="_blank" w:history="1">
        <w:r>
          <w:rPr>
            <w:rStyle w:val="Collegamentoipertestuale"/>
            <w:rFonts w:ascii="Open Sans" w:hAnsi="Open Sans" w:cs="Open Sans"/>
            <w:color w:val="106C93"/>
            <w:bdr w:val="none" w:sz="0" w:space="0" w:color="auto" w:frame="1"/>
            <w:shd w:val="clear" w:color="auto" w:fill="FFFFFF"/>
          </w:rPr>
          <w:t>canale YouTube</w:t>
        </w:r>
      </w:hyperlink>
      <w:r>
        <w:rPr>
          <w:rFonts w:ascii="Open Sans" w:hAnsi="Open Sans" w:cs="Open Sans"/>
          <w:color w:val="444444"/>
          <w:shd w:val="clear" w:color="auto" w:fill="FFFFFF"/>
        </w:rPr>
        <w:t>).</w:t>
      </w:r>
    </w:p>
    <w:p w14:paraId="2D0B39F8" w14:textId="77777777" w:rsidR="00DC466B" w:rsidRDefault="00DC466B" w:rsidP="00DC466B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</w:p>
    <w:p w14:paraId="22BBA8AD" w14:textId="0F4F6DBB" w:rsidR="00DC466B" w:rsidRPr="00FF6421" w:rsidRDefault="00DC466B" w:rsidP="00DC466B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444444"/>
          <w:lang w:eastAsia="it-IT"/>
        </w:rPr>
      </w:pPr>
      <w:r w:rsidRPr="00FF6421">
        <w:rPr>
          <w:rFonts w:ascii="Open Sans" w:eastAsia="Times New Roman" w:hAnsi="Open Sans" w:cs="Open Sans"/>
          <w:color w:val="444444"/>
          <w:bdr w:val="none" w:sz="0" w:space="0" w:color="auto" w:frame="1"/>
          <w:lang w:eastAsia="it-IT"/>
        </w:rPr>
        <w:t>Se dunque l’art. 55 può avere una particolare importanza nella Regione, quali sono oggi </w:t>
      </w:r>
      <w:r w:rsidRPr="00FF6421">
        <w:rPr>
          <w:rFonts w:ascii="Open Sans" w:eastAsia="Times New Roman" w:hAnsi="Open Sans" w:cs="Open Sans"/>
          <w:b/>
          <w:bCs/>
          <w:color w:val="444444"/>
          <w:bdr w:val="none" w:sz="0" w:space="0" w:color="auto" w:frame="1"/>
          <w:lang w:eastAsia="it-IT"/>
        </w:rPr>
        <w:t>gli ostacoli</w:t>
      </w:r>
      <w:r w:rsidRPr="00FF6421">
        <w:rPr>
          <w:rFonts w:ascii="Open Sans" w:eastAsia="Times New Roman" w:hAnsi="Open Sans" w:cs="Open Sans"/>
          <w:color w:val="444444"/>
          <w:bdr w:val="none" w:sz="0" w:space="0" w:color="auto" w:frame="1"/>
          <w:lang w:eastAsia="it-IT"/>
        </w:rPr>
        <w:t> che impediscono di dare avvio concreto alla collaborazione per co-progettare e co-programmare? Quali sono le </w:t>
      </w:r>
      <w:r w:rsidRPr="00FF6421">
        <w:rPr>
          <w:rFonts w:ascii="Open Sans" w:eastAsia="Times New Roman" w:hAnsi="Open Sans" w:cs="Open Sans"/>
          <w:b/>
          <w:bCs/>
          <w:color w:val="444444"/>
          <w:bdr w:val="none" w:sz="0" w:space="0" w:color="auto" w:frame="1"/>
          <w:lang w:eastAsia="it-IT"/>
        </w:rPr>
        <w:t>competenze</w:t>
      </w:r>
      <w:r w:rsidRPr="00FF6421">
        <w:rPr>
          <w:rFonts w:ascii="Open Sans" w:eastAsia="Times New Roman" w:hAnsi="Open Sans" w:cs="Open Sans"/>
          <w:color w:val="444444"/>
          <w:bdr w:val="none" w:sz="0" w:space="0" w:color="auto" w:frame="1"/>
          <w:lang w:eastAsia="it-IT"/>
        </w:rPr>
        <w:t> e gli strumenti necessari e su cui dobbiamo impegnarci? Come valorizzare anche il diritto dei cittadini, delle formazioni sociali e delle associazioni portatrici di interessi diffusi, quali espressioni della comunità locale che intendono concorrere alle attività delle amministrazioni locali secondo un principio di sussidiarietà orizzontale? Quali </w:t>
      </w:r>
      <w:r w:rsidRPr="00FF6421">
        <w:rPr>
          <w:rFonts w:ascii="Open Sans" w:eastAsia="Times New Roman" w:hAnsi="Open Sans" w:cs="Open Sans"/>
          <w:b/>
          <w:bCs/>
          <w:color w:val="444444"/>
          <w:bdr w:val="none" w:sz="0" w:space="0" w:color="auto" w:frame="1"/>
          <w:lang w:eastAsia="it-IT"/>
        </w:rPr>
        <w:t>esperienze in corso</w:t>
      </w:r>
      <w:r w:rsidRPr="00FF6421">
        <w:rPr>
          <w:rFonts w:ascii="Open Sans" w:eastAsia="Times New Roman" w:hAnsi="Open Sans" w:cs="Open Sans"/>
          <w:color w:val="444444"/>
          <w:bdr w:val="none" w:sz="0" w:space="0" w:color="auto" w:frame="1"/>
          <w:lang w:eastAsia="it-IT"/>
        </w:rPr>
        <w:t> possono indicarci sperimentazioni positive? E le </w:t>
      </w:r>
      <w:r w:rsidRPr="00FF6421">
        <w:rPr>
          <w:rFonts w:ascii="Open Sans" w:eastAsia="Times New Roman" w:hAnsi="Open Sans" w:cs="Open Sans"/>
          <w:b/>
          <w:bCs/>
          <w:color w:val="444444"/>
          <w:bdr w:val="none" w:sz="0" w:space="0" w:color="auto" w:frame="1"/>
          <w:lang w:eastAsia="it-IT"/>
        </w:rPr>
        <w:t>leggi regionali n. 71 del 2020</w:t>
      </w:r>
      <w:r w:rsidRPr="00FF6421">
        <w:rPr>
          <w:rFonts w:ascii="Open Sans" w:eastAsia="Times New Roman" w:hAnsi="Open Sans" w:cs="Open Sans"/>
          <w:color w:val="444444"/>
          <w:bdr w:val="none" w:sz="0" w:space="0" w:color="auto" w:frame="1"/>
          <w:lang w:eastAsia="it-IT"/>
        </w:rPr>
        <w:t> e </w:t>
      </w:r>
      <w:r w:rsidRPr="00FF6421">
        <w:rPr>
          <w:rFonts w:ascii="Open Sans" w:eastAsia="Times New Roman" w:hAnsi="Open Sans" w:cs="Open Sans"/>
          <w:b/>
          <w:bCs/>
          <w:color w:val="444444"/>
          <w:bdr w:val="none" w:sz="0" w:space="0" w:color="auto" w:frame="1"/>
          <w:lang w:eastAsia="it-IT"/>
        </w:rPr>
        <w:t>n. 65 del 2020</w:t>
      </w:r>
      <w:r w:rsidRPr="00FF6421">
        <w:rPr>
          <w:rFonts w:ascii="Open Sans" w:eastAsia="Times New Roman" w:hAnsi="Open Sans" w:cs="Open Sans"/>
          <w:color w:val="444444"/>
          <w:bdr w:val="none" w:sz="0" w:space="0" w:color="auto" w:frame="1"/>
          <w:lang w:eastAsia="it-IT"/>
        </w:rPr>
        <w:t> possono contribuire in tal senso, indicandoci anche gli strumenti?</w:t>
      </w:r>
    </w:p>
    <w:p w14:paraId="1442B690" w14:textId="77777777" w:rsidR="00DC466B" w:rsidRPr="0046643B" w:rsidRDefault="00DC466B" w:rsidP="00DC466B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444444"/>
          <w:bdr w:val="none" w:sz="0" w:space="0" w:color="auto" w:frame="1"/>
          <w:lang w:eastAsia="it-IT"/>
        </w:rPr>
      </w:pPr>
      <w:r w:rsidRPr="00FF6421">
        <w:rPr>
          <w:rFonts w:ascii="Open Sans" w:eastAsia="Times New Roman" w:hAnsi="Open Sans" w:cs="Open Sans"/>
          <w:color w:val="444444"/>
          <w:bdr w:val="none" w:sz="0" w:space="0" w:color="auto" w:frame="1"/>
          <w:lang w:eastAsia="it-IT"/>
        </w:rPr>
        <w:lastRenderedPageBreak/>
        <w:t xml:space="preserve">Queste domande ed altre tematiche saranno oggetto di approfondimento nel corso dell’incontro di martedì 8 giugno, promosso da </w:t>
      </w:r>
      <w:proofErr w:type="spellStart"/>
      <w:r w:rsidRPr="00FF6421">
        <w:rPr>
          <w:rFonts w:ascii="Open Sans" w:eastAsia="Times New Roman" w:hAnsi="Open Sans" w:cs="Open Sans"/>
          <w:color w:val="444444"/>
          <w:bdr w:val="none" w:sz="0" w:space="0" w:color="auto" w:frame="1"/>
          <w:lang w:eastAsia="it-IT"/>
        </w:rPr>
        <w:t>Labsus</w:t>
      </w:r>
      <w:proofErr w:type="spellEnd"/>
      <w:r w:rsidRPr="00FF6421">
        <w:rPr>
          <w:rFonts w:ascii="Open Sans" w:eastAsia="Times New Roman" w:hAnsi="Open Sans" w:cs="Open Sans"/>
          <w:color w:val="444444"/>
          <w:bdr w:val="none" w:sz="0" w:space="0" w:color="auto" w:frame="1"/>
          <w:lang w:eastAsia="it-IT"/>
        </w:rPr>
        <w:t xml:space="preserve"> con il patrocinio di ANCI Toscana e </w:t>
      </w:r>
      <w:proofErr w:type="spellStart"/>
      <w:r w:rsidRPr="00FF6421">
        <w:rPr>
          <w:rFonts w:ascii="Open Sans" w:eastAsia="Times New Roman" w:hAnsi="Open Sans" w:cs="Open Sans"/>
          <w:color w:val="444444"/>
          <w:bdr w:val="none" w:sz="0" w:space="0" w:color="auto" w:frame="1"/>
          <w:lang w:eastAsia="it-IT"/>
        </w:rPr>
        <w:t>Cesvot</w:t>
      </w:r>
      <w:proofErr w:type="spellEnd"/>
      <w:r w:rsidRPr="00FF6421">
        <w:rPr>
          <w:rFonts w:ascii="Open Sans" w:eastAsia="Times New Roman" w:hAnsi="Open Sans" w:cs="Open Sans"/>
          <w:color w:val="444444"/>
          <w:bdr w:val="none" w:sz="0" w:space="0" w:color="auto" w:frame="1"/>
          <w:lang w:eastAsia="it-IT"/>
        </w:rPr>
        <w:t>.</w:t>
      </w:r>
    </w:p>
    <w:p w14:paraId="5E627140" w14:textId="77777777" w:rsidR="00DC466B" w:rsidRPr="0046643B" w:rsidRDefault="00DC466B" w:rsidP="00DC466B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444444"/>
          <w:bdr w:val="none" w:sz="0" w:space="0" w:color="auto" w:frame="1"/>
          <w:lang w:eastAsia="it-IT"/>
        </w:rPr>
      </w:pPr>
      <w:r w:rsidRPr="00FF6421">
        <w:rPr>
          <w:rFonts w:ascii="Open Sans" w:eastAsia="Times New Roman" w:hAnsi="Open Sans" w:cs="Open Sans"/>
          <w:color w:val="444444"/>
          <w:bdr w:val="none" w:sz="0" w:space="0" w:color="auto" w:frame="1"/>
          <w:lang w:eastAsia="it-IT"/>
        </w:rPr>
        <w:br/>
      </w:r>
      <w:proofErr w:type="gramStart"/>
      <w:r w:rsidRPr="00FF6421">
        <w:rPr>
          <w:rFonts w:ascii="Open Sans" w:eastAsia="Times New Roman" w:hAnsi="Open Sans" w:cs="Open Sans"/>
          <w:color w:val="444444"/>
          <w:bdr w:val="none" w:sz="0" w:space="0" w:color="auto" w:frame="1"/>
          <w:lang w:eastAsia="it-IT"/>
        </w:rPr>
        <w:t>E’</w:t>
      </w:r>
      <w:proofErr w:type="gramEnd"/>
      <w:r w:rsidRPr="00FF6421">
        <w:rPr>
          <w:rFonts w:ascii="Open Sans" w:eastAsia="Times New Roman" w:hAnsi="Open Sans" w:cs="Open Sans"/>
          <w:color w:val="444444"/>
          <w:bdr w:val="none" w:sz="0" w:space="0" w:color="auto" w:frame="1"/>
          <w:lang w:eastAsia="it-IT"/>
        </w:rPr>
        <w:t xml:space="preserve"> prevista la partecipazione di:</w:t>
      </w:r>
    </w:p>
    <w:p w14:paraId="019F9446" w14:textId="77777777" w:rsidR="00DC466B" w:rsidRPr="0046643B" w:rsidRDefault="00DC466B" w:rsidP="00DC466B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444444"/>
          <w:bdr w:val="none" w:sz="0" w:space="0" w:color="auto" w:frame="1"/>
          <w:lang w:eastAsia="it-IT"/>
        </w:rPr>
      </w:pPr>
      <w:r w:rsidRPr="00FF6421">
        <w:rPr>
          <w:rFonts w:ascii="Open Sans" w:eastAsia="Times New Roman" w:hAnsi="Open Sans" w:cs="Open Sans"/>
          <w:color w:val="444444"/>
          <w:bdr w:val="none" w:sz="0" w:space="0" w:color="auto" w:frame="1"/>
          <w:lang w:eastAsia="it-IT"/>
        </w:rPr>
        <w:br/>
      </w:r>
      <w:r w:rsidRPr="00FF6421">
        <w:rPr>
          <w:rFonts w:ascii="Open Sans" w:eastAsia="Times New Roman" w:hAnsi="Open Sans" w:cs="Open Sans"/>
          <w:b/>
          <w:bCs/>
          <w:color w:val="FF0000"/>
          <w:lang w:eastAsia="it-IT"/>
        </w:rPr>
        <w:t>Gregorio Arena</w:t>
      </w:r>
      <w:r w:rsidRPr="00FF6421">
        <w:rPr>
          <w:rFonts w:ascii="Open Sans" w:eastAsia="Times New Roman" w:hAnsi="Open Sans" w:cs="Open Sans"/>
          <w:color w:val="444444"/>
          <w:bdr w:val="none" w:sz="0" w:space="0" w:color="auto" w:frame="1"/>
          <w:lang w:eastAsia="it-IT"/>
        </w:rPr>
        <w:t xml:space="preserve">, Presidente </w:t>
      </w:r>
      <w:proofErr w:type="spellStart"/>
      <w:r w:rsidRPr="00FF6421">
        <w:rPr>
          <w:rFonts w:ascii="Open Sans" w:eastAsia="Times New Roman" w:hAnsi="Open Sans" w:cs="Open Sans"/>
          <w:color w:val="444444"/>
          <w:bdr w:val="none" w:sz="0" w:space="0" w:color="auto" w:frame="1"/>
          <w:lang w:eastAsia="it-IT"/>
        </w:rPr>
        <w:t>Labsus</w:t>
      </w:r>
      <w:proofErr w:type="spellEnd"/>
    </w:p>
    <w:p w14:paraId="6207E3BF" w14:textId="77777777" w:rsidR="00DC466B" w:rsidRPr="0046643B" w:rsidRDefault="00DC466B" w:rsidP="00DC466B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444444"/>
          <w:bdr w:val="none" w:sz="0" w:space="0" w:color="auto" w:frame="1"/>
          <w:lang w:eastAsia="it-IT"/>
        </w:rPr>
      </w:pPr>
      <w:r w:rsidRPr="00FF6421">
        <w:rPr>
          <w:rFonts w:ascii="Open Sans" w:eastAsia="Times New Roman" w:hAnsi="Open Sans" w:cs="Open Sans"/>
          <w:b/>
          <w:bCs/>
          <w:color w:val="FF0000"/>
          <w:lang w:eastAsia="it-IT"/>
        </w:rPr>
        <w:t>Rossana Caselli</w:t>
      </w:r>
      <w:r w:rsidRPr="00FF6421">
        <w:rPr>
          <w:rFonts w:ascii="Open Sans" w:eastAsia="Times New Roman" w:hAnsi="Open Sans" w:cs="Open Sans"/>
          <w:color w:val="444444"/>
          <w:bdr w:val="none" w:sz="0" w:space="0" w:color="auto" w:frame="1"/>
          <w:lang w:eastAsia="it-IT"/>
        </w:rPr>
        <w:t xml:space="preserve">, coordinatrice di </w:t>
      </w:r>
      <w:proofErr w:type="spellStart"/>
      <w:r w:rsidRPr="00FF6421">
        <w:rPr>
          <w:rFonts w:ascii="Open Sans" w:eastAsia="Times New Roman" w:hAnsi="Open Sans" w:cs="Open Sans"/>
          <w:color w:val="444444"/>
          <w:bdr w:val="none" w:sz="0" w:space="0" w:color="auto" w:frame="1"/>
          <w:lang w:eastAsia="it-IT"/>
        </w:rPr>
        <w:t>Labsus</w:t>
      </w:r>
      <w:proofErr w:type="spellEnd"/>
      <w:r w:rsidRPr="00FF6421">
        <w:rPr>
          <w:rFonts w:ascii="Open Sans" w:eastAsia="Times New Roman" w:hAnsi="Open Sans" w:cs="Open Sans"/>
          <w:color w:val="444444"/>
          <w:bdr w:val="none" w:sz="0" w:space="0" w:color="auto" w:frame="1"/>
          <w:lang w:eastAsia="it-IT"/>
        </w:rPr>
        <w:t xml:space="preserve"> per la Toscana</w:t>
      </w:r>
    </w:p>
    <w:p w14:paraId="63B8F791" w14:textId="77777777" w:rsidR="00DC466B" w:rsidRPr="0046643B" w:rsidRDefault="00DC466B" w:rsidP="00DC466B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444444"/>
          <w:bdr w:val="none" w:sz="0" w:space="0" w:color="auto" w:frame="1"/>
          <w:lang w:eastAsia="it-IT"/>
        </w:rPr>
      </w:pPr>
      <w:r w:rsidRPr="00FF6421">
        <w:rPr>
          <w:rFonts w:ascii="Open Sans" w:eastAsia="Times New Roman" w:hAnsi="Open Sans" w:cs="Open Sans"/>
          <w:b/>
          <w:bCs/>
          <w:color w:val="FF0000"/>
          <w:lang w:eastAsia="it-IT"/>
        </w:rPr>
        <w:t>Donato Di Memmo</w:t>
      </w:r>
      <w:r w:rsidRPr="00FF6421">
        <w:rPr>
          <w:rFonts w:ascii="Open Sans" w:eastAsia="Times New Roman" w:hAnsi="Open Sans" w:cs="Open Sans"/>
          <w:color w:val="444444"/>
          <w:bdr w:val="none" w:sz="0" w:space="0" w:color="auto" w:frame="1"/>
          <w:lang w:eastAsia="it-IT"/>
        </w:rPr>
        <w:t>, Responsabile terzo settore e promozione della cittadinanza attiva del Comune di Bologna</w:t>
      </w:r>
    </w:p>
    <w:p w14:paraId="49FE7188" w14:textId="77777777" w:rsidR="00DC466B" w:rsidRPr="0046643B" w:rsidRDefault="00DC466B" w:rsidP="00DC466B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444444"/>
          <w:bdr w:val="none" w:sz="0" w:space="0" w:color="auto" w:frame="1"/>
          <w:lang w:eastAsia="it-IT"/>
        </w:rPr>
      </w:pPr>
      <w:r w:rsidRPr="00FF6421">
        <w:rPr>
          <w:rFonts w:ascii="Open Sans" w:eastAsia="Times New Roman" w:hAnsi="Open Sans" w:cs="Open Sans"/>
          <w:b/>
          <w:bCs/>
          <w:color w:val="FF0000"/>
          <w:lang w:eastAsia="it-IT"/>
        </w:rPr>
        <w:t>Emiliano Fossi</w:t>
      </w:r>
      <w:r w:rsidRPr="00FF6421">
        <w:rPr>
          <w:rFonts w:ascii="Open Sans" w:eastAsia="Times New Roman" w:hAnsi="Open Sans" w:cs="Open Sans"/>
          <w:color w:val="444444"/>
          <w:bdr w:val="none" w:sz="0" w:space="0" w:color="auto" w:frame="1"/>
          <w:lang w:eastAsia="it-IT"/>
        </w:rPr>
        <w:t>, Responsabile Economia civile, Partecipazione e Beni Comuni Anci Toscana e Sindaco Campi Bisenzio</w:t>
      </w:r>
    </w:p>
    <w:p w14:paraId="415651E9" w14:textId="77777777" w:rsidR="00DC466B" w:rsidRPr="0046643B" w:rsidRDefault="00DC466B" w:rsidP="00DC466B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444444"/>
          <w:bdr w:val="none" w:sz="0" w:space="0" w:color="auto" w:frame="1"/>
          <w:lang w:eastAsia="it-IT"/>
        </w:rPr>
      </w:pPr>
      <w:r w:rsidRPr="00FF6421">
        <w:rPr>
          <w:rFonts w:ascii="Open Sans" w:eastAsia="Times New Roman" w:hAnsi="Open Sans" w:cs="Open Sans"/>
          <w:b/>
          <w:bCs/>
          <w:color w:val="FF0000"/>
          <w:lang w:eastAsia="it-IT"/>
        </w:rPr>
        <w:t>Luca Gori</w:t>
      </w:r>
      <w:r w:rsidRPr="00FF6421">
        <w:rPr>
          <w:rFonts w:ascii="Open Sans" w:eastAsia="Times New Roman" w:hAnsi="Open Sans" w:cs="Open Sans"/>
          <w:color w:val="444444"/>
          <w:bdr w:val="none" w:sz="0" w:space="0" w:color="auto" w:frame="1"/>
          <w:lang w:eastAsia="it-IT"/>
        </w:rPr>
        <w:t>, Scuola Superiore Sant’Anna di Pisa</w:t>
      </w:r>
    </w:p>
    <w:p w14:paraId="279139E1" w14:textId="77777777" w:rsidR="00DC466B" w:rsidRPr="00FF6421" w:rsidRDefault="00DC466B" w:rsidP="00DC466B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444444"/>
          <w:lang w:eastAsia="it-IT"/>
        </w:rPr>
      </w:pPr>
    </w:p>
    <w:p w14:paraId="0966253D" w14:textId="77777777" w:rsidR="00DC466B" w:rsidRPr="00FF6421" w:rsidRDefault="00DC466B" w:rsidP="00DC466B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444444"/>
          <w:lang w:eastAsia="it-IT"/>
        </w:rPr>
      </w:pPr>
      <w:r w:rsidRPr="00FF6421">
        <w:rPr>
          <w:rFonts w:ascii="Open Sans" w:eastAsia="Times New Roman" w:hAnsi="Open Sans" w:cs="Open Sans"/>
          <w:color w:val="444444"/>
          <w:lang w:eastAsia="it-IT"/>
        </w:rPr>
        <w:t>L’evento è aperto a tutti e potrà essere seguito </w:t>
      </w:r>
      <w:r w:rsidRPr="00FF6421">
        <w:rPr>
          <w:rFonts w:ascii="Open Sans" w:eastAsia="Times New Roman" w:hAnsi="Open Sans" w:cs="Open Sans"/>
          <w:b/>
          <w:bCs/>
          <w:color w:val="444444"/>
          <w:bdr w:val="none" w:sz="0" w:space="0" w:color="auto" w:frame="1"/>
          <w:lang w:eastAsia="it-IT"/>
        </w:rPr>
        <w:t>sui nostri canali social</w:t>
      </w:r>
      <w:r w:rsidRPr="00FF6421">
        <w:rPr>
          <w:rFonts w:ascii="Open Sans" w:eastAsia="Times New Roman" w:hAnsi="Open Sans" w:cs="Open Sans"/>
          <w:color w:val="444444"/>
          <w:lang w:eastAsia="it-IT"/>
        </w:rPr>
        <w:t> (Facebook e YouTube).</w:t>
      </w:r>
    </w:p>
    <w:p w14:paraId="2EAF46FD" w14:textId="77777777" w:rsidR="00DC466B" w:rsidRPr="0046643B" w:rsidRDefault="00DC466B" w:rsidP="00DC466B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lang w:eastAsia="it-IT"/>
        </w:rPr>
      </w:pPr>
    </w:p>
    <w:p w14:paraId="554B643D" w14:textId="7B6D8E05" w:rsidR="006B29EB" w:rsidRPr="008F4F6E" w:rsidRDefault="00DC466B" w:rsidP="008F4F6E">
      <w:pPr>
        <w:shd w:val="clear" w:color="auto" w:fill="FFFFFF"/>
        <w:spacing w:after="0" w:line="240" w:lineRule="auto"/>
        <w:jc w:val="both"/>
        <w:rPr>
          <w:rFonts w:ascii="Open Sans" w:hAnsi="Open Sans" w:cs="Open Sans"/>
          <w:i/>
          <w:iCs/>
        </w:rPr>
      </w:pPr>
      <w:r w:rsidRPr="0046643B">
        <w:rPr>
          <w:rFonts w:ascii="Open Sans" w:hAnsi="Open Sans" w:cs="Open Sans"/>
        </w:rPr>
        <w:t xml:space="preserve">Si ricorda che l’appuntamento dell’8 giugno fa parte di un ciclo di incontri iniziato a maggio 2021 dal titolo: </w:t>
      </w:r>
      <w:r w:rsidRPr="008F4F6E">
        <w:rPr>
          <w:rFonts w:ascii="Open Sans" w:hAnsi="Open Sans" w:cs="Open Sans"/>
          <w:b/>
          <w:bCs/>
        </w:rPr>
        <w:t>La Toscana dei beni comuni</w:t>
      </w:r>
      <w:r w:rsidRPr="0046643B">
        <w:rPr>
          <w:rFonts w:ascii="Open Sans" w:hAnsi="Open Sans" w:cs="Open Sans"/>
        </w:rPr>
        <w:t xml:space="preserve">.  </w:t>
      </w:r>
      <w:proofErr w:type="spellStart"/>
      <w:r w:rsidRPr="0046643B">
        <w:rPr>
          <w:rFonts w:ascii="Open Sans" w:hAnsi="Open Sans" w:cs="Open Sans"/>
        </w:rPr>
        <w:t>Labsus</w:t>
      </w:r>
      <w:proofErr w:type="spellEnd"/>
      <w:r w:rsidRPr="0046643B">
        <w:rPr>
          <w:rFonts w:ascii="Open Sans" w:hAnsi="Open Sans" w:cs="Open Sans"/>
        </w:rPr>
        <w:t xml:space="preserve"> ha infatti avviato in Toscana un percorso progettuale per giungere ad una proposta di patto di collaborazione con la Regione Toscana: l’obiettivo è quello di valorizzare e promuovere il civismo, nelle sue varie espressioni esistenti sul nostro territorio, quale bene comune immateriale. Ed il percorso avviato è finalizzato a individuare concretamente le modalità e gli strumenti, ma anche i soggetti (pubblici e privati) che intendono far parte </w:t>
      </w:r>
      <w:r w:rsidR="008F4F6E">
        <w:rPr>
          <w:rFonts w:ascii="Open Sans" w:hAnsi="Open Sans" w:cs="Open Sans"/>
        </w:rPr>
        <w:t>di</w:t>
      </w:r>
      <w:r w:rsidRPr="0046643B">
        <w:rPr>
          <w:rFonts w:ascii="Open Sans" w:hAnsi="Open Sans" w:cs="Open Sans"/>
        </w:rPr>
        <w:t xml:space="preserve"> questo progetto</w:t>
      </w:r>
      <w:r w:rsidR="008F4F6E">
        <w:rPr>
          <w:rFonts w:ascii="Open Sans" w:hAnsi="Open Sans" w:cs="Open Sans"/>
        </w:rPr>
        <w:t xml:space="preserve"> e </w:t>
      </w:r>
      <w:r w:rsidR="008F4F6E" w:rsidRPr="0046643B">
        <w:rPr>
          <w:rFonts w:ascii="Open Sans" w:hAnsi="Open Sans" w:cs="Open Sans"/>
        </w:rPr>
        <w:t>sostener</w:t>
      </w:r>
      <w:r w:rsidR="008F4F6E">
        <w:rPr>
          <w:rFonts w:ascii="Open Sans" w:hAnsi="Open Sans" w:cs="Open Sans"/>
        </w:rPr>
        <w:t>lo</w:t>
      </w:r>
      <w:r w:rsidR="008F4F6E" w:rsidRPr="0046643B">
        <w:rPr>
          <w:rFonts w:ascii="Open Sans" w:hAnsi="Open Sans" w:cs="Open Sans"/>
        </w:rPr>
        <w:t xml:space="preserve"> con noi</w:t>
      </w:r>
      <w:r w:rsidR="008F4F6E">
        <w:rPr>
          <w:rFonts w:ascii="Open Sans" w:hAnsi="Open Sans" w:cs="Open Sans"/>
        </w:rPr>
        <w:t>.</w:t>
      </w:r>
    </w:p>
    <w:sectPr w:rsidR="006B29EB" w:rsidRPr="008F4F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 Slab">
    <w:altName w:val="Arial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66B"/>
    <w:rsid w:val="001B2217"/>
    <w:rsid w:val="0046643B"/>
    <w:rsid w:val="006B29EB"/>
    <w:rsid w:val="008F4F6E"/>
    <w:rsid w:val="00B64467"/>
    <w:rsid w:val="00DC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6C202"/>
  <w15:chartTrackingRefBased/>
  <w15:docId w15:val="{2ED75B74-82DE-4752-B42C-890536001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C466B"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DC46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C46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DC466B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DC46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0veZqREzYM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LabsusBeniComuni/videos/3900503650026703" TargetMode="External"/><Relationship Id="rId5" Type="http://schemas.openxmlformats.org/officeDocument/2006/relationships/hyperlink" Target="https://www.labsus.org/2020/10/toscana-una-legge-per-il-governo-collaborativo-dei-beni-comuni-e-del-territorio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2841</Characters>
  <Application>Microsoft Office Word</Application>
  <DocSecurity>0</DocSecurity>
  <Lines>23</Lines>
  <Paragraphs>6</Paragraphs>
  <ScaleCrop>false</ScaleCrop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cp:lastPrinted>2021-05-28T08:35:00Z</cp:lastPrinted>
  <dcterms:created xsi:type="dcterms:W3CDTF">2021-05-28T12:44:00Z</dcterms:created>
  <dcterms:modified xsi:type="dcterms:W3CDTF">2021-05-28T12:44:00Z</dcterms:modified>
</cp:coreProperties>
</file>